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023F3B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4D3C24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3389A9B" w:rsidR="00862AC6" w:rsidRPr="00B56B2A" w:rsidRDefault="3FC527B4" w:rsidP="4D3C24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LV0200300</w:t>
            </w:r>
          </w:p>
        </w:tc>
      </w:tr>
      <w:tr w:rsidR="00862AC6" w14:paraId="36E12895" w14:textId="77777777" w:rsidTr="1023F3B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D0993E" w:rsidR="00862AC6" w:rsidRPr="00B56B2A" w:rsidRDefault="467DB00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Slīteres Nacionālais parks</w:t>
            </w:r>
          </w:p>
        </w:tc>
      </w:tr>
      <w:tr w:rsidR="00862AC6" w14:paraId="6CAF263F" w14:textId="77777777" w:rsidTr="1023F3B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92445DC" w14:textId="69A2DCE1" w:rsidR="58287701" w:rsidRDefault="58287701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1210 Viengadīgu augu sabiedrības uz sanesumu joslām </w:t>
            </w:r>
          </w:p>
          <w:p w14:paraId="781EDB36" w14:textId="03B7D649" w:rsidR="58287701" w:rsidRPr="00376B19" w:rsidRDefault="58287701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1230 Jūras </w:t>
            </w:r>
            <w:proofErr w:type="spellStart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stāvkrasti</w:t>
            </w:r>
            <w:proofErr w:type="spellEnd"/>
          </w:p>
          <w:p w14:paraId="209A32DC" w14:textId="1991D6DD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1310 Viengadīgu augu sabiedrības dūņainās un zemās smilšainās pludmalēs</w:t>
            </w:r>
          </w:p>
          <w:p w14:paraId="71683B62" w14:textId="2D3CA6E3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1640 Smilšainas pludmales ar daudzgadīgu augāju</w:t>
            </w:r>
          </w:p>
          <w:p w14:paraId="1A21752D" w14:textId="50D0CB6F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2110 Embrionālās kāpas </w:t>
            </w:r>
          </w:p>
          <w:p w14:paraId="27395C10" w14:textId="4D275F87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4F98F034" w14:textId="1E3BD8FC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42BFEA77" w14:textId="20E73215" w:rsidR="73E69AF2" w:rsidRDefault="73E69AF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2140* Pelēkās kāpas ar </w:t>
            </w:r>
            <w:proofErr w:type="spellStart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sīkkrūmu</w:t>
            </w:r>
            <w:proofErr w:type="spellEnd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audzēm</w:t>
            </w:r>
          </w:p>
          <w:p w14:paraId="273D04B6" w14:textId="7FEE325A" w:rsidR="58287701" w:rsidRDefault="58287701" w:rsidP="00376B19">
            <w:pPr>
              <w:jc w:val="both"/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52D7A8EF" w14:textId="5E6AE4B2" w:rsidR="328B8024" w:rsidRDefault="328B8024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2190 Mitras </w:t>
            </w:r>
            <w:proofErr w:type="spellStart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starpkāpu</w:t>
            </w:r>
            <w:proofErr w:type="spellEnd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ieplakas</w:t>
            </w:r>
            <w:proofErr w:type="spellEnd"/>
          </w:p>
          <w:p w14:paraId="5F1A8022" w14:textId="051A4E00" w:rsidR="328B8024" w:rsidRDefault="328B8024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2320 Piejūras zemienes smiltāju līdzenumu sausi virsāji</w:t>
            </w:r>
          </w:p>
          <w:p w14:paraId="2CF10E0E" w14:textId="7A8C0760" w:rsidR="328B8024" w:rsidRDefault="328B8024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4010 Slapji virsāji </w:t>
            </w:r>
          </w:p>
          <w:p w14:paraId="7554ED17" w14:textId="00095D8E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virsājos un zālājos</w:t>
            </w:r>
          </w:p>
          <w:p w14:paraId="0631A06B" w14:textId="42D8B96A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2AA8AB53" w14:textId="1EFDB115" w:rsidR="46CFA962" w:rsidRDefault="46CFA962" w:rsidP="1023F3B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17FC5205"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="7FD9AD71" w:rsidRPr="1023F3B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1FEC77ED" w14:textId="0CD720FE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4055E92" w14:textId="60474C51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6E3D5414" w14:textId="41BC38A4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pļavas</w:t>
            </w:r>
          </w:p>
          <w:p w14:paraId="32E8690C" w14:textId="4F07AE25" w:rsidR="46CFA962" w:rsidRDefault="46CFA962" w:rsidP="00376B1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AD7E55B" w14:textId="711A8CA0" w:rsidR="0ACD34B0" w:rsidRDefault="0ACD34B0" w:rsidP="00376B19">
            <w:pPr>
              <w:jc w:val="both"/>
            </w:pPr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0F4F05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F50277E" w14:textId="32656F5F" w:rsidR="0ACD34B0" w:rsidRDefault="0ACD34B0" w:rsidP="00376B19">
            <w:pPr>
              <w:jc w:val="both"/>
            </w:pPr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</w:p>
          <w:p w14:paraId="57A72EC3" w14:textId="0C9587C6" w:rsidR="00E24EE7" w:rsidRPr="00B56B2A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F8DCA87" w14:textId="78C1F747" w:rsidR="00E24EE7" w:rsidRPr="00B56B2A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0FAF82A" w14:textId="57AF624F" w:rsidR="00E24EE7" w:rsidRPr="00B56B2A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90245B4" w14:textId="3B180D81" w:rsidR="00E24EE7" w:rsidRPr="00B56B2A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71C0F7BA" w14:textId="3666C9B5" w:rsidR="00E24EE7" w:rsidRPr="00B56B2A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D3C24A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066A4C90" w14:textId="6E14EA55" w:rsidR="00E24EE7" w:rsidRPr="006E073E" w:rsidRDefault="327B1E75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2BC0CB2E" w14:textId="44BD214A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7B06177A" w14:textId="0DE038B7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ED1D294" w14:textId="7E2F2EAA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F13E34B" w14:textId="314C73D0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9070 Meža ganības </w:t>
            </w:r>
          </w:p>
          <w:p w14:paraId="20BA624F" w14:textId="7805EF47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BEEEBC5" w14:textId="501773A0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35088036" w14:textId="678C0A44" w:rsidR="00E24EE7" w:rsidRPr="006E073E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58CE681F" w:rsidR="00E24EE7" w:rsidRPr="00B56B2A" w:rsidRDefault="22E852D0" w:rsidP="00376B1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07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1023F3B7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7B07B2A9" w14:textId="2D32BAFF" w:rsidR="00B07F83" w:rsidRPr="00B56B2A" w:rsidRDefault="357810E8" w:rsidP="4D3C24A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9AC06B7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023F3B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8787BC0" w:rsidR="00D57CBE" w:rsidRPr="00B56B2A" w:rsidRDefault="00376B1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22.03.2024.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4FFB23A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4FFB23A1">
        <w:trPr>
          <w:trHeight w:val="300"/>
        </w:trPr>
        <w:tc>
          <w:tcPr>
            <w:tcW w:w="9629" w:type="dxa"/>
          </w:tcPr>
          <w:p w14:paraId="38EA47E9" w14:textId="39091DBC" w:rsidR="2701C161" w:rsidRDefault="2701C161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8166767" w14:textId="322C68E4" w:rsidR="0092068E" w:rsidRPr="00B56B2A" w:rsidRDefault="12603626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97BA5B9" w14:textId="3C47847B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65F256C0" w14:textId="38442148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A6A0463" w14:textId="0CBC74FC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8F56C49" w14:textId="2A9EE4B6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47A8B766" w14:textId="4C51A83F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2130*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3BA5BD9" w14:textId="50ACE0DC" w:rsidR="0092068E" w:rsidRPr="00B56B2A" w:rsidRDefault="79B0CAB4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2140*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85990B0" w14:textId="6163D256" w:rsidR="0092068E" w:rsidRPr="00B56B2A" w:rsidRDefault="4B5FAF8F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ar pašreizējo.</w:t>
            </w:r>
          </w:p>
          <w:p w14:paraId="6A12F929" w14:textId="280BB153" w:rsidR="0092068E" w:rsidRPr="00B56B2A" w:rsidRDefault="446BD857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Mežainu piejūras kāpu (2180) </w:t>
            </w:r>
            <w:proofErr w:type="spellStart"/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57BF2231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</w:t>
            </w:r>
            <w:proofErr w:type="spellEnd"/>
            <w:r w:rsidR="57BF2231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iekļautas </w:t>
            </w:r>
            <w:r w:rsidR="5A422578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atsevišķas </w:t>
            </w:r>
            <w:r w:rsidR="57BF2231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priežu jaunaudzes kā 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potenciālas </w:t>
            </w:r>
            <w:r w:rsidR="57BF2231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platības.</w:t>
            </w:r>
          </w:p>
          <w:p w14:paraId="572404A0" w14:textId="28D05A6C" w:rsidR="0092068E" w:rsidRPr="00B56B2A" w:rsidRDefault="4B5FAF8F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0D6A0E5A" w14:textId="433D9026" w:rsidR="0092068E" w:rsidRPr="00B56B2A" w:rsidRDefault="4B5FAF8F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2320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356E45A9" w14:textId="62018567" w:rsidR="0092068E" w:rsidRPr="00B56B2A" w:rsidRDefault="4B5FAF8F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32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4010</w:t>
            </w:r>
            <w:r w:rsidRPr="3BD3221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3BD322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1425BEC8" w14:textId="2DF2B324" w:rsidR="50F1D553" w:rsidRPr="00B56B2A" w:rsidRDefault="50F1D553" w:rsidP="006E073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F4F05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F4F056D">
        <w:trPr>
          <w:trHeight w:val="300"/>
        </w:trPr>
        <w:tc>
          <w:tcPr>
            <w:tcW w:w="9629" w:type="dxa"/>
          </w:tcPr>
          <w:p w14:paraId="0627817C" w14:textId="7461D223" w:rsidR="3EF79754" w:rsidRPr="00B56B2A" w:rsidRDefault="3873E60E" w:rsidP="006E073E">
            <w:pPr>
              <w:spacing w:before="120" w:after="120"/>
              <w:jc w:val="both"/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0E5DF9E" w14:textId="6A332FD7" w:rsidR="3EF79754" w:rsidRPr="00B56B2A" w:rsidRDefault="3873E60E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6CA213EA" w:rsidR="3EF79754" w:rsidRPr="00B56B2A" w:rsidRDefault="3873E60E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30587C1" w:rsidR="50F1D553" w:rsidRPr="00B56B2A" w:rsidRDefault="50F1D553" w:rsidP="006E073E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0F4F056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0F4F056D">
        <w:trPr>
          <w:trHeight w:val="300"/>
        </w:trPr>
        <w:tc>
          <w:tcPr>
            <w:tcW w:w="9629" w:type="dxa"/>
          </w:tcPr>
          <w:p w14:paraId="6CE3E257" w14:textId="086E379E" w:rsidR="00872DEB" w:rsidRPr="00B56B2A" w:rsidRDefault="1ACC1C21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Pr="4D3C24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3DD77B9" w14:textId="621A4572" w:rsidR="00872DEB" w:rsidRPr="00B56B2A" w:rsidRDefault="1ACC1C21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</w:t>
            </w:r>
            <w:r w:rsidR="7B6D0791"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ACB649B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EC76F28" w14:textId="18ABB1BE" w:rsidR="4CB3ACEC" w:rsidRDefault="4CB3ACEC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platības galvenokārt ir ietvertas tās teritorijas, kuras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datu analīzē (2013.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 w:rsidR="0E0EC7BB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apzinātas </w:t>
            </w:r>
            <w:r w:rsidR="3EBD95BC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</w:t>
            </w:r>
            <w:r w:rsidR="0E0EC7BB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</w:t>
            </w:r>
            <w:r w:rsidR="61CDD219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zālāju biotop</w:t>
            </w:r>
            <w:r w:rsidR="26AF0ACC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ja tiek veikta to atjaunošana un apsaimniekošana, jo pārsvarā tās ir aizaugošas un aizaugušas lauksaimniecības zemes</w:t>
            </w:r>
            <w:r w:rsidR="760DE209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proti, vēsturiskās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dabisko </w:t>
            </w:r>
            <w:r w:rsidR="760DE209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platības.</w:t>
            </w:r>
          </w:p>
          <w:p w14:paraId="5B3E9CD8" w14:textId="443D7F00" w:rsidR="00872DEB" w:rsidRPr="00B56B2A" w:rsidRDefault="0ACB649B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753E868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691AAE" w14:textId="11AAE29C" w:rsidR="251B1E3D" w:rsidRDefault="251B1E3D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platības galvenokārt ir ietvertas tās teritorijas, kuras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00B524D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="00B524D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 datu analīzē (2013.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B524D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apzinātas kā potenciāli ES nozīmes zālāju biotopi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ja tiek veikta to atjaunošana un apsaimniekošana, jo pārsvarā tās ir aizaugošas un aizaugušas lauksaimniecības zemes, proti, vēsturiskās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dabisko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zālāju platības.</w:t>
            </w:r>
          </w:p>
          <w:p w14:paraId="0868B83C" w14:textId="38837EF8" w:rsidR="00872DEB" w:rsidRPr="00B56B2A" w:rsidRDefault="4753E868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4F05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7B78F3FE" w14:textId="615EF707" w:rsidR="62B7FF9B" w:rsidRDefault="62B7FF9B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platībās ir ietverti </w:t>
            </w:r>
            <w:r w:rsidR="00B524D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galvenokārt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C9E5D11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“Dabas skaitīšanas”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projektā </w:t>
            </w:r>
            <w:r w:rsidR="7B434242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(2017.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7B434242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7B434242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B434242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</w:t>
            </w:r>
            <w:r w:rsidR="00B524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7B434242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uzkartēti kā potenciāli 6</w:t>
            </w:r>
            <w:r w:rsidR="691E95F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270* biotopi,</w:t>
            </w:r>
            <w:r w:rsidR="4F4DEE1B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691E95FF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2F7F394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 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002E3263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NAT-PROGRAMME 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="002E3263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BVZ 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datu analīz</w:t>
            </w:r>
            <w:r w:rsidR="2A47F571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(2013.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ads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–</w:t>
            </w:r>
            <w:r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potenciāli ES nozīmes zālāju biotopi</w:t>
            </w:r>
            <w:r w:rsidR="66DEAF81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proti, vēsturiski zināmās 6270* platības, ja tās joprojām atbilst </w:t>
            </w:r>
            <w:r w:rsidR="2B65F8F5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šim statusam. Lielākoties tās tiek apsaimniekotas un deklarētas LAD sistēmā kā ilggadīgie zālāji (kods 710)</w:t>
            </w:r>
            <w:r w:rsidR="788D0CA5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kopš 2012.</w:t>
            </w:r>
            <w:r w:rsidR="002E32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88D0CA5" w:rsidRPr="0F4F05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gada.</w:t>
            </w:r>
          </w:p>
          <w:p w14:paraId="7C85B0E8" w14:textId="5CA94B0F" w:rsidR="00872DEB" w:rsidRPr="00B56B2A" w:rsidRDefault="4753E868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FF070C2" w14:textId="622A02CF" w:rsidR="00872DEB" w:rsidRPr="00B56B2A" w:rsidRDefault="4753E868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CC21EAE" w14:textId="132BD3AF" w:rsidR="00872DEB" w:rsidRPr="00B56B2A" w:rsidRDefault="4753E868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D3C24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4D3C24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6E073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703E70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703E70D">
        <w:trPr>
          <w:trHeight w:val="300"/>
        </w:trPr>
        <w:tc>
          <w:tcPr>
            <w:tcW w:w="9629" w:type="dxa"/>
          </w:tcPr>
          <w:p w14:paraId="03C9D569" w14:textId="601B46D2" w:rsidR="00872DEB" w:rsidRPr="00B56B2A" w:rsidRDefault="0F945D35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03E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703E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4016F86" w14:textId="64635623" w:rsidR="00872DEB" w:rsidRPr="00B56B2A" w:rsidRDefault="0F945D35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03E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703E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A4D7296" w14:textId="73C40B9E" w:rsidR="00872DEB" w:rsidRPr="00B56B2A" w:rsidRDefault="0F945D35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03E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4703E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3B480EB3" w:rsidR="00872DEB" w:rsidRPr="00B56B2A" w:rsidRDefault="0F945D35" w:rsidP="006E073E">
            <w:pPr>
              <w:spacing w:before="120" w:after="120"/>
              <w:jc w:val="both"/>
            </w:pPr>
            <w:r w:rsidRPr="4703E7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4703E7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62443982" w14:textId="77777777" w:rsidR="007B3F10" w:rsidRPr="00B56B2A" w:rsidRDefault="007B3F10" w:rsidP="006E073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7B2C687A" w14:textId="257C0280" w:rsidR="00480A57" w:rsidRDefault="00480A57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02A1C8B3" w14:textId="65E642AD" w:rsidR="001613F9" w:rsidRPr="00B56B2A" w:rsidRDefault="00BC1642" w:rsidP="006E073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44220A0"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ptiņos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erozijas ietek</w:t>
            </w:r>
            <w:r w:rsidR="00084A83">
              <w:rPr>
                <w:rFonts w:ascii="Times New Roman" w:eastAsia="Times New Roman" w:hAnsi="Times New Roman" w:cs="Times New Roman"/>
                <w:sz w:val="24"/>
                <w:szCs w:val="24"/>
              </w:rPr>
              <w:t>mei vāji pakļautās nogāzēs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notiek lēna pakājes daļas aizbiršana un aizaugšana. Šajos </w:t>
            </w:r>
            <w:r w:rsidR="00084A83">
              <w:rPr>
                <w:rFonts w:ascii="Times New Roman" w:eastAsia="Times New Roman" w:hAnsi="Times New Roman" w:cs="Times New Roman"/>
                <w:sz w:val="24"/>
                <w:szCs w:val="24"/>
              </w:rPr>
              <w:t>septiņos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</w:tc>
      </w:tr>
    </w:tbl>
    <w:p w14:paraId="008CF454" w14:textId="77777777" w:rsidR="001613F9" w:rsidRPr="00B56B2A" w:rsidRDefault="001613F9" w:rsidP="006E073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FFB23A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6E073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FFB23A1">
        <w:trPr>
          <w:trHeight w:val="300"/>
        </w:trPr>
        <w:tc>
          <w:tcPr>
            <w:tcW w:w="9629" w:type="dxa"/>
          </w:tcPr>
          <w:p w14:paraId="5E77578D" w14:textId="0CC61F45" w:rsidR="112BBC92" w:rsidRDefault="112BBC92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25614640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 Biotop</w:t>
            </w:r>
            <w:r w:rsidR="753E8F8D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25614640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citu meža biotopu </w:t>
            </w:r>
            <w:proofErr w:type="spellStart"/>
            <w:r w:rsidR="25614640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25614640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68779369" w14:textId="6FA6951C" w:rsidR="5E785611" w:rsidRDefault="5E785611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="00AF180C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81DF73A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8D13CD4" w14:textId="12CB3D14" w:rsidR="00872DEB" w:rsidRPr="00AF180C" w:rsidRDefault="112BBC92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 </w:t>
            </w:r>
            <w:r w:rsidR="7BA525F1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ED8CEF3" w14:textId="072698D3" w:rsidR="1406BC67" w:rsidRDefault="1406BC67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64FE7868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3216867D" w14:textId="63268F8D" w:rsidR="112BBC92" w:rsidRDefault="112BBC92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="00AF180C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6E1BF2F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57628DB" w14:textId="098C5CBD" w:rsidR="7D2A565F" w:rsidRDefault="7D2A565F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="00AF180C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75C6094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8C38129" w14:textId="607B9E9B" w:rsidR="112BBC92" w:rsidRDefault="112BBC92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B61DEE5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76BEAE5F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7FC22300" w:rsidR="00872DEB" w:rsidRPr="00AF180C" w:rsidRDefault="112BBC92" w:rsidP="006E073E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FFB23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8200EFE" w:rsidRPr="4FFB23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006E073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E958D" w14:textId="77777777" w:rsidR="00F00649" w:rsidRDefault="00F00649" w:rsidP="00065CAF">
      <w:pPr>
        <w:spacing w:line="240" w:lineRule="auto"/>
      </w:pPr>
      <w:r>
        <w:separator/>
      </w:r>
    </w:p>
  </w:endnote>
  <w:endnote w:type="continuationSeparator" w:id="0">
    <w:p w14:paraId="5E0B4675" w14:textId="77777777" w:rsidR="00F00649" w:rsidRDefault="00F00649" w:rsidP="00065CAF">
      <w:pPr>
        <w:spacing w:line="240" w:lineRule="auto"/>
      </w:pPr>
      <w:r>
        <w:continuationSeparator/>
      </w:r>
    </w:p>
  </w:endnote>
  <w:endnote w:type="continuationNotice" w:id="1">
    <w:p w14:paraId="5DDB133F" w14:textId="77777777" w:rsidR="00F00649" w:rsidRDefault="00F006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B95BF" w14:textId="77777777" w:rsidR="00F00649" w:rsidRDefault="00F00649" w:rsidP="00065CAF">
      <w:pPr>
        <w:spacing w:line="240" w:lineRule="auto"/>
      </w:pPr>
      <w:r>
        <w:separator/>
      </w:r>
    </w:p>
  </w:footnote>
  <w:footnote w:type="continuationSeparator" w:id="0">
    <w:p w14:paraId="7178A57B" w14:textId="77777777" w:rsidR="00F00649" w:rsidRDefault="00F00649" w:rsidP="00065CAF">
      <w:pPr>
        <w:spacing w:line="240" w:lineRule="auto"/>
      </w:pPr>
      <w:r>
        <w:continuationSeparator/>
      </w:r>
    </w:p>
  </w:footnote>
  <w:footnote w:type="continuationNotice" w:id="1">
    <w:p w14:paraId="608486BC" w14:textId="77777777" w:rsidR="00F00649" w:rsidRDefault="00F00649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4A83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3263"/>
    <w:rsid w:val="002F2448"/>
    <w:rsid w:val="003144A2"/>
    <w:rsid w:val="00343327"/>
    <w:rsid w:val="00355E53"/>
    <w:rsid w:val="00362DA7"/>
    <w:rsid w:val="00365548"/>
    <w:rsid w:val="00376B19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0A57"/>
    <w:rsid w:val="00485311"/>
    <w:rsid w:val="004D5A35"/>
    <w:rsid w:val="00506E1F"/>
    <w:rsid w:val="005144B0"/>
    <w:rsid w:val="00514BEA"/>
    <w:rsid w:val="00520095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3049"/>
    <w:rsid w:val="005D7DDF"/>
    <w:rsid w:val="005F6D2A"/>
    <w:rsid w:val="00620CDB"/>
    <w:rsid w:val="00624FFF"/>
    <w:rsid w:val="00633571"/>
    <w:rsid w:val="00646709"/>
    <w:rsid w:val="00671E63"/>
    <w:rsid w:val="00692775"/>
    <w:rsid w:val="006B38BE"/>
    <w:rsid w:val="006B6574"/>
    <w:rsid w:val="006C1ED0"/>
    <w:rsid w:val="006D06B8"/>
    <w:rsid w:val="006E073E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3F10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C4B48"/>
    <w:rsid w:val="00AD1E89"/>
    <w:rsid w:val="00AD5B29"/>
    <w:rsid w:val="00AE0764"/>
    <w:rsid w:val="00AE6A7B"/>
    <w:rsid w:val="00AF180C"/>
    <w:rsid w:val="00AF38FD"/>
    <w:rsid w:val="00AF52BB"/>
    <w:rsid w:val="00B058D6"/>
    <w:rsid w:val="00B07F83"/>
    <w:rsid w:val="00B21478"/>
    <w:rsid w:val="00B508F5"/>
    <w:rsid w:val="00B510C3"/>
    <w:rsid w:val="00B524DF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1642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22A3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1EE4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0649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373B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0C52C6"/>
    <w:rsid w:val="0459DDBC"/>
    <w:rsid w:val="0469C957"/>
    <w:rsid w:val="04A94008"/>
    <w:rsid w:val="056599C3"/>
    <w:rsid w:val="05F7C7E6"/>
    <w:rsid w:val="060AE939"/>
    <w:rsid w:val="061D4ECA"/>
    <w:rsid w:val="0743F388"/>
    <w:rsid w:val="0751DA95"/>
    <w:rsid w:val="0888690F"/>
    <w:rsid w:val="08A6FA5A"/>
    <w:rsid w:val="092D4EDF"/>
    <w:rsid w:val="093CC44A"/>
    <w:rsid w:val="099BB579"/>
    <w:rsid w:val="0ACB649B"/>
    <w:rsid w:val="0ACD34B0"/>
    <w:rsid w:val="0AD05FBB"/>
    <w:rsid w:val="0BA875EA"/>
    <w:rsid w:val="0BC3CCC6"/>
    <w:rsid w:val="0CA258D3"/>
    <w:rsid w:val="0D68626A"/>
    <w:rsid w:val="0D8058F0"/>
    <w:rsid w:val="0DB3350C"/>
    <w:rsid w:val="0E00C002"/>
    <w:rsid w:val="0E0EC7BB"/>
    <w:rsid w:val="0E1082D7"/>
    <w:rsid w:val="0EC9CB71"/>
    <w:rsid w:val="0EEA749F"/>
    <w:rsid w:val="0F18CF9C"/>
    <w:rsid w:val="0F2DCBD7"/>
    <w:rsid w:val="0F4F056D"/>
    <w:rsid w:val="0F945D35"/>
    <w:rsid w:val="1023F3B7"/>
    <w:rsid w:val="10677717"/>
    <w:rsid w:val="10AFC604"/>
    <w:rsid w:val="10EA463E"/>
    <w:rsid w:val="112BBC92"/>
    <w:rsid w:val="1167F4A6"/>
    <w:rsid w:val="11CA8211"/>
    <w:rsid w:val="11CF0539"/>
    <w:rsid w:val="12603626"/>
    <w:rsid w:val="131FB4FB"/>
    <w:rsid w:val="13665272"/>
    <w:rsid w:val="13810FC6"/>
    <w:rsid w:val="1406BC67"/>
    <w:rsid w:val="14755E1F"/>
    <w:rsid w:val="14BEDEA9"/>
    <w:rsid w:val="150A8AEA"/>
    <w:rsid w:val="153682C6"/>
    <w:rsid w:val="1678C0F1"/>
    <w:rsid w:val="167A186D"/>
    <w:rsid w:val="167E9ACC"/>
    <w:rsid w:val="16A8F17E"/>
    <w:rsid w:val="1721AE98"/>
    <w:rsid w:val="17482055"/>
    <w:rsid w:val="17FC5205"/>
    <w:rsid w:val="18233C73"/>
    <w:rsid w:val="18E3F0B6"/>
    <w:rsid w:val="1997E8FE"/>
    <w:rsid w:val="19BF0CD4"/>
    <w:rsid w:val="1A3CC033"/>
    <w:rsid w:val="1A523CA2"/>
    <w:rsid w:val="1AB7DDC4"/>
    <w:rsid w:val="1ABB6B80"/>
    <w:rsid w:val="1ACC1C21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DB942E"/>
    <w:rsid w:val="22133E57"/>
    <w:rsid w:val="224B1262"/>
    <w:rsid w:val="22711BCB"/>
    <w:rsid w:val="22C81426"/>
    <w:rsid w:val="22E852D0"/>
    <w:rsid w:val="22EE5534"/>
    <w:rsid w:val="23F5B53E"/>
    <w:rsid w:val="24E058D4"/>
    <w:rsid w:val="2509D6FA"/>
    <w:rsid w:val="251334F0"/>
    <w:rsid w:val="251B1E3D"/>
    <w:rsid w:val="256000C3"/>
    <w:rsid w:val="25614640"/>
    <w:rsid w:val="25859D9F"/>
    <w:rsid w:val="26766C06"/>
    <w:rsid w:val="26AF0ACC"/>
    <w:rsid w:val="26DEB6A0"/>
    <w:rsid w:val="26E1BF2F"/>
    <w:rsid w:val="26F0B6F5"/>
    <w:rsid w:val="2701C161"/>
    <w:rsid w:val="27216E00"/>
    <w:rsid w:val="27448CEE"/>
    <w:rsid w:val="2786EF55"/>
    <w:rsid w:val="2911C87D"/>
    <w:rsid w:val="29EF22D2"/>
    <w:rsid w:val="29F34FCD"/>
    <w:rsid w:val="2A3D83A1"/>
    <w:rsid w:val="2A47F571"/>
    <w:rsid w:val="2AC8F391"/>
    <w:rsid w:val="2B1EEF00"/>
    <w:rsid w:val="2B65F8F5"/>
    <w:rsid w:val="2BFA08AE"/>
    <w:rsid w:val="2C1D118E"/>
    <w:rsid w:val="2C54BED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CD79D1"/>
    <w:rsid w:val="30D960B5"/>
    <w:rsid w:val="311ADBFB"/>
    <w:rsid w:val="317C4D7E"/>
    <w:rsid w:val="31EE5C59"/>
    <w:rsid w:val="327B1E75"/>
    <w:rsid w:val="328B8024"/>
    <w:rsid w:val="32F7F394"/>
    <w:rsid w:val="335CDC94"/>
    <w:rsid w:val="339A8717"/>
    <w:rsid w:val="35163212"/>
    <w:rsid w:val="351761BD"/>
    <w:rsid w:val="357810E8"/>
    <w:rsid w:val="357B7796"/>
    <w:rsid w:val="357ED136"/>
    <w:rsid w:val="36A181FF"/>
    <w:rsid w:val="36BEB707"/>
    <w:rsid w:val="376C40D0"/>
    <w:rsid w:val="37884049"/>
    <w:rsid w:val="37BE1EF5"/>
    <w:rsid w:val="38200EFE"/>
    <w:rsid w:val="3873E60E"/>
    <w:rsid w:val="39143561"/>
    <w:rsid w:val="39D11BAF"/>
    <w:rsid w:val="39EA0CE2"/>
    <w:rsid w:val="3A524259"/>
    <w:rsid w:val="3B9B187A"/>
    <w:rsid w:val="3BD32214"/>
    <w:rsid w:val="3C9E5D11"/>
    <w:rsid w:val="3CEEEBCF"/>
    <w:rsid w:val="3EA197EF"/>
    <w:rsid w:val="3EBD95BC"/>
    <w:rsid w:val="3ECE842F"/>
    <w:rsid w:val="3EF79754"/>
    <w:rsid w:val="3F6A4EF4"/>
    <w:rsid w:val="3F93522E"/>
    <w:rsid w:val="3FC527B4"/>
    <w:rsid w:val="406201EA"/>
    <w:rsid w:val="419C774C"/>
    <w:rsid w:val="41A77BE7"/>
    <w:rsid w:val="4201CF9F"/>
    <w:rsid w:val="422A6E7C"/>
    <w:rsid w:val="43FFE2DC"/>
    <w:rsid w:val="4460A46A"/>
    <w:rsid w:val="446BD857"/>
    <w:rsid w:val="4486C378"/>
    <w:rsid w:val="44F8D37D"/>
    <w:rsid w:val="45ABAB5B"/>
    <w:rsid w:val="467DB005"/>
    <w:rsid w:val="46CFA962"/>
    <w:rsid w:val="4703E70D"/>
    <w:rsid w:val="4706622D"/>
    <w:rsid w:val="4753E868"/>
    <w:rsid w:val="493D5F8F"/>
    <w:rsid w:val="496C7C19"/>
    <w:rsid w:val="499A9188"/>
    <w:rsid w:val="4A8B3F69"/>
    <w:rsid w:val="4B5FAF8F"/>
    <w:rsid w:val="4B8AFD60"/>
    <w:rsid w:val="4C29E823"/>
    <w:rsid w:val="4C3CC289"/>
    <w:rsid w:val="4CB3ACEC"/>
    <w:rsid w:val="4D00EAD8"/>
    <w:rsid w:val="4D3C24A1"/>
    <w:rsid w:val="4E45CA86"/>
    <w:rsid w:val="4EA8CD80"/>
    <w:rsid w:val="4ED7F502"/>
    <w:rsid w:val="4F28D426"/>
    <w:rsid w:val="4F4DEE1B"/>
    <w:rsid w:val="4F5242CB"/>
    <w:rsid w:val="4FADD2B8"/>
    <w:rsid w:val="4FF9E653"/>
    <w:rsid w:val="4FFB23A1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5703FF"/>
    <w:rsid w:val="53960F45"/>
    <w:rsid w:val="53B9C6B5"/>
    <w:rsid w:val="53E586D8"/>
    <w:rsid w:val="559D0302"/>
    <w:rsid w:val="55A2CF54"/>
    <w:rsid w:val="568EA4C1"/>
    <w:rsid w:val="56B0C2CF"/>
    <w:rsid w:val="56CDB007"/>
    <w:rsid w:val="575C6094"/>
    <w:rsid w:val="57707157"/>
    <w:rsid w:val="57A1626B"/>
    <w:rsid w:val="57BF2231"/>
    <w:rsid w:val="57ECACCC"/>
    <w:rsid w:val="58287701"/>
    <w:rsid w:val="58648C9D"/>
    <w:rsid w:val="58A64134"/>
    <w:rsid w:val="58D17EB5"/>
    <w:rsid w:val="59424ABB"/>
    <w:rsid w:val="59C64583"/>
    <w:rsid w:val="5A422578"/>
    <w:rsid w:val="5AA81219"/>
    <w:rsid w:val="5B23DEFF"/>
    <w:rsid w:val="5B61DEE5"/>
    <w:rsid w:val="5BC6C335"/>
    <w:rsid w:val="5DCDCFD5"/>
    <w:rsid w:val="5DD07E80"/>
    <w:rsid w:val="5E2E136D"/>
    <w:rsid w:val="5E785611"/>
    <w:rsid w:val="5F425440"/>
    <w:rsid w:val="5F43E929"/>
    <w:rsid w:val="5F7F9A35"/>
    <w:rsid w:val="60BFDBFB"/>
    <w:rsid w:val="61057097"/>
    <w:rsid w:val="614E5686"/>
    <w:rsid w:val="6168E414"/>
    <w:rsid w:val="61CDD219"/>
    <w:rsid w:val="61FE542F"/>
    <w:rsid w:val="621B061F"/>
    <w:rsid w:val="62701E8F"/>
    <w:rsid w:val="62B7FF9B"/>
    <w:rsid w:val="63253F9C"/>
    <w:rsid w:val="63B6D680"/>
    <w:rsid w:val="63CB786D"/>
    <w:rsid w:val="63FC74BC"/>
    <w:rsid w:val="646CFD03"/>
    <w:rsid w:val="64D31D5A"/>
    <w:rsid w:val="64FE7868"/>
    <w:rsid w:val="661ED92B"/>
    <w:rsid w:val="6680B6EE"/>
    <w:rsid w:val="66DEAF81"/>
    <w:rsid w:val="671B4111"/>
    <w:rsid w:val="67BEFD3B"/>
    <w:rsid w:val="67E42D7B"/>
    <w:rsid w:val="688C1DE0"/>
    <w:rsid w:val="691E95FF"/>
    <w:rsid w:val="69406E26"/>
    <w:rsid w:val="6990D638"/>
    <w:rsid w:val="69A68E7D"/>
    <w:rsid w:val="6A5C0D9A"/>
    <w:rsid w:val="6A60878C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022BCD"/>
    <w:rsid w:val="70B59C9F"/>
    <w:rsid w:val="70B6A0B3"/>
    <w:rsid w:val="7146F890"/>
    <w:rsid w:val="7192F475"/>
    <w:rsid w:val="719DFC2E"/>
    <w:rsid w:val="71B131D3"/>
    <w:rsid w:val="71F7B801"/>
    <w:rsid w:val="72A2D51B"/>
    <w:rsid w:val="738395DC"/>
    <w:rsid w:val="73D6BE0D"/>
    <w:rsid w:val="73E69AF2"/>
    <w:rsid w:val="747D208D"/>
    <w:rsid w:val="749DC3A1"/>
    <w:rsid w:val="752C425A"/>
    <w:rsid w:val="753E8F8D"/>
    <w:rsid w:val="760DE209"/>
    <w:rsid w:val="769CD2DC"/>
    <w:rsid w:val="76BEAE5F"/>
    <w:rsid w:val="7716608C"/>
    <w:rsid w:val="781DF73A"/>
    <w:rsid w:val="786252E6"/>
    <w:rsid w:val="788D0CA5"/>
    <w:rsid w:val="78D669E1"/>
    <w:rsid w:val="78F161AA"/>
    <w:rsid w:val="795E5413"/>
    <w:rsid w:val="797A5268"/>
    <w:rsid w:val="79A2ACF9"/>
    <w:rsid w:val="79B0CAB4"/>
    <w:rsid w:val="79E6D92F"/>
    <w:rsid w:val="79EFD822"/>
    <w:rsid w:val="7B3D2F3C"/>
    <w:rsid w:val="7B434242"/>
    <w:rsid w:val="7B6D0791"/>
    <w:rsid w:val="7BA525F1"/>
    <w:rsid w:val="7BB30B3C"/>
    <w:rsid w:val="7C456868"/>
    <w:rsid w:val="7D2A565F"/>
    <w:rsid w:val="7DA36D3D"/>
    <w:rsid w:val="7E042314"/>
    <w:rsid w:val="7E13374F"/>
    <w:rsid w:val="7E6338F2"/>
    <w:rsid w:val="7E9C7322"/>
    <w:rsid w:val="7F89D18E"/>
    <w:rsid w:val="7FA88656"/>
    <w:rsid w:val="7FD9A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www.w3.org/XML/1998/namespace"/>
    <ds:schemaRef ds:uri="4f0330e0-ca1d-44dc-b595-c9626fe08e92"/>
    <ds:schemaRef ds:uri="b6cf2262-1f1d-4d40-b8e9-95476283415b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ADEEF45-099D-43EC-97AD-25C1292BA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722</Words>
  <Characters>4694</Characters>
  <Application>Microsoft Office Word</Application>
  <DocSecurity>0</DocSecurity>
  <Lines>127</Lines>
  <Paragraphs>97</Paragraphs>
  <ScaleCrop>false</ScaleCrop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297</cp:revision>
  <dcterms:created xsi:type="dcterms:W3CDTF">2022-03-03T18:55:00Z</dcterms:created>
  <dcterms:modified xsi:type="dcterms:W3CDTF">2024-03-28T08:23:00Z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