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1BCE38B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7C838E2" w14:paraId="07E639DE" w14:textId="32B2C356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LV0200200</w:t>
            </w:r>
          </w:p>
        </w:tc>
      </w:tr>
      <w:tr w:rsidR="00862AC6" w:rsidTr="41BCE38B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9AA9FBB" w14:paraId="7B6A44DF" w14:textId="3841733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Ķemeru </w:t>
            </w:r>
            <w:r w:rsidR="00232A9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N</w:t>
            </w:r>
            <w:r w:rsidRPr="5F3590F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acionālais parks</w:t>
            </w:r>
          </w:p>
        </w:tc>
      </w:tr>
      <w:tr w:rsidR="00862AC6" w:rsidTr="41BCE38B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="6587D9CE" w:rsidP="00232A99" w:rsidRDefault="6587D9CE" w14:paraId="5AFFDFF9" w14:textId="27841302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1210 Viengadīgu augu sabiedrības uz sanesumu joslām</w:t>
            </w:r>
          </w:p>
          <w:p w:rsidR="6587D9CE" w:rsidP="00232A99" w:rsidRDefault="6587D9CE" w14:paraId="0B0DC15D" w14:textId="3D4DF93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1220 Daudzgadīgs augājs akmeņainās pludmalēs</w:t>
            </w:r>
          </w:p>
          <w:p w:rsidR="6587D9CE" w:rsidP="00232A99" w:rsidRDefault="6587D9CE" w14:paraId="67EB7EEF" w14:textId="69E5FDAD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1310 Viengadīgu augu sabiedrības dūņainās un zemās smilšainās pludmalēs</w:t>
            </w:r>
          </w:p>
          <w:p w:rsidR="6587D9CE" w:rsidP="00232A99" w:rsidRDefault="6587D9CE" w14:paraId="4A8285DA" w14:textId="3EEB7ADE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1640 Smilšainas pludmales ar daudzgadīgu augāju</w:t>
            </w:r>
          </w:p>
          <w:p w:rsidR="6587D9CE" w:rsidP="00232A99" w:rsidRDefault="6587D9CE" w14:paraId="0EC22596" w14:textId="558CAF72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2110 Embrionālās kāpas</w:t>
            </w:r>
          </w:p>
          <w:p w:rsidR="6587D9CE" w:rsidP="00232A99" w:rsidRDefault="6587D9CE" w14:paraId="71372D9C" w14:textId="10E281AC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2120 Priekškāpas</w:t>
            </w:r>
          </w:p>
          <w:p w:rsidR="6587D9CE" w:rsidP="00232A99" w:rsidRDefault="6587D9CE" w14:paraId="26C29E57" w14:textId="48358B4E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:rsidR="5123470D" w:rsidP="00232A99" w:rsidRDefault="5123470D" w14:paraId="3C2911AA" w14:textId="02F64893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2140</w:t>
            </w:r>
            <w:r w:rsidRPr="3B4EF1F1" w:rsidR="096195D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3B4EF1F1" w:rsidR="68B4087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Pelēkās kāpas ar sīkkrūmu audzēm</w:t>
            </w:r>
          </w:p>
          <w:p w:rsidR="6587D9CE" w:rsidP="00232A99" w:rsidRDefault="6587D9CE" w14:paraId="0AA6ADF6" w14:textId="59797013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:rsidR="24BE25F0" w:rsidP="00232A99" w:rsidRDefault="24BE25F0" w14:paraId="21130B8D" w14:textId="24899BD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2320 </w:t>
            </w:r>
            <w:r w:rsidRPr="3B4EF1F1" w:rsidR="544F75B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Piejūras zemienes smiltāju līdzenumu sausi virsāji</w:t>
            </w:r>
          </w:p>
          <w:p w:rsidRPr="00232A99" w:rsidR="00E24EE7" w:rsidP="00232A99" w:rsidRDefault="712A7247" w14:paraId="476239C6" w14:textId="03B0047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3140 Ezeri ar mieturaļģu augāju</w:t>
            </w:r>
          </w:p>
          <w:p w:rsidRPr="00B56B2A" w:rsidR="00E24EE7" w:rsidP="00232A99" w:rsidRDefault="712A7247" w14:paraId="1DDA7143" w14:textId="63D683BF">
            <w:pPr>
              <w:jc w:val="both"/>
              <w:textAlignment w:val="baseline"/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5F3590F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Pr="00B56B2A" w:rsidR="00E24EE7" w:rsidP="00232A99" w:rsidRDefault="712A7247" w14:paraId="2FCF7FBF" w14:textId="39DC38EF">
            <w:pPr>
              <w:jc w:val="both"/>
              <w:textAlignment w:val="baseline"/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3160 Distrofi ezeri</w:t>
            </w:r>
          </w:p>
          <w:p w:rsidRPr="00B56B2A" w:rsidR="00E24EE7" w:rsidP="00232A99" w:rsidRDefault="712A7247" w14:paraId="4D91FBDB" w14:textId="69A74B63">
            <w:pPr>
              <w:jc w:val="both"/>
              <w:textAlignment w:val="baseline"/>
            </w:pPr>
            <w:r w:rsidRPr="0EBADA3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Pr="00B56B2A" w:rsidR="00E24EE7" w:rsidP="00232A99" w:rsidRDefault="5059557A" w14:paraId="75C1E35E" w14:textId="4670BA97">
            <w:pPr>
              <w:jc w:val="both"/>
              <w:textAlignment w:val="baseline"/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virsājos un zālājos</w:t>
            </w:r>
          </w:p>
          <w:p w:rsidR="5059557A" w:rsidP="00232A99" w:rsidRDefault="5059557A" w14:paraId="1CC8D79B" w14:textId="44DE7D8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5059557A" w:rsidP="00232A99" w:rsidRDefault="5059557A" w14:paraId="1A78527B" w14:textId="5469B14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5059557A" w:rsidP="00232A99" w:rsidRDefault="5059557A" w14:paraId="4D60015E" w14:textId="317624D0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0008421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(tukšaiņu zālāji</w:t>
            </w:r>
            <w:r w:rsidR="0008421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:rsidR="5059557A" w:rsidP="00232A99" w:rsidRDefault="5059557A" w14:paraId="3D745BB2" w14:textId="06E398F9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5059557A" w:rsidP="00232A99" w:rsidRDefault="5059557A" w14:paraId="40DB7B12" w14:textId="1E7CD819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="5059557A" w:rsidP="00232A99" w:rsidRDefault="5059557A" w14:paraId="16818F96" w14:textId="40779BE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="5059557A" w:rsidP="00232A99" w:rsidRDefault="5059557A" w14:paraId="4868524B" w14:textId="31F9C73F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="5059557A" w:rsidP="00232A99" w:rsidRDefault="5059557A" w14:paraId="6E378B52" w14:textId="21126278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:rsidRPr="0050724C" w:rsidR="00E24EE7" w:rsidP="00232A99" w:rsidRDefault="6D0F1102" w14:paraId="0D7481BE" w14:textId="04506BC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50724C" w:rsidR="00E24EE7" w:rsidP="00232A99" w:rsidRDefault="6D0F1102" w14:paraId="0C83F5B1" w14:textId="3EEA357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7120 Degradēti augstie purvi, kuros iespējama vai noris dabiska </w:t>
            </w:r>
            <w:r w:rsidR="0008421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atjaunošanās</w:t>
            </w:r>
          </w:p>
          <w:p w:rsidRPr="0050724C" w:rsidR="00E24EE7" w:rsidP="00232A99" w:rsidRDefault="6D0F1102" w14:paraId="622866C3" w14:textId="5A7E28F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50724C" w:rsidR="00E24EE7" w:rsidP="00232A99" w:rsidRDefault="6D0F1102" w14:paraId="0FFA926D" w14:textId="4809778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r w:rsidRPr="0008421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Rhynchosporion albae</w:t>
            </w: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pioniersabiedrības uz mitras kūdras vai smiltīm</w:t>
            </w:r>
          </w:p>
          <w:p w:rsidRPr="00B56B2A" w:rsidR="00E24EE7" w:rsidP="00232A99" w:rsidRDefault="6D0F1102" w14:paraId="69730F62" w14:textId="3112FF8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:rsidRPr="00B56B2A" w:rsidR="00E24EE7" w:rsidP="00232A99" w:rsidRDefault="6D0F1102" w14:paraId="0767B741" w14:textId="7313318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7210* Dižās aslapes </w:t>
            </w:r>
            <w:r w:rsidRPr="0008421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Cladium mariscus</w:t>
            </w: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audzes ezeros un purvos</w:t>
            </w:r>
          </w:p>
          <w:p w:rsidRPr="00B56B2A" w:rsidR="00E24EE7" w:rsidP="00232A99" w:rsidRDefault="6D0F1102" w14:paraId="58ACA3AE" w14:textId="744DB1E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7220 Avoti, kas izgulsnē avotkaļķus</w:t>
            </w:r>
          </w:p>
          <w:p w:rsidRPr="00B56B2A" w:rsidR="00E24EE7" w:rsidP="00232A99" w:rsidRDefault="6D0F1102" w14:paraId="16F32A22" w14:textId="43FA8F9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F3590F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:rsidRPr="00B56B2A" w:rsidR="00E24EE7" w:rsidP="00232A99" w:rsidRDefault="6D0F1102" w14:paraId="39C404CE" w14:textId="62F156F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8210 Karbonātisku pamatiežu atsegumi</w:t>
            </w:r>
          </w:p>
          <w:p w:rsidRPr="00B56B2A" w:rsidR="00E24EE7" w:rsidP="00232A99" w:rsidRDefault="7C0B35B2" w14:paraId="1A196C7B" w14:textId="3A11F10B">
            <w:pPr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08421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Veci vai dabiski boreāli meži</w:t>
            </w:r>
          </w:p>
          <w:p w:rsidRPr="00B56B2A" w:rsidR="00E24EE7" w:rsidP="00232A99" w:rsidRDefault="7C0B35B2" w14:paraId="0633BBB7" w14:textId="5758BAC7">
            <w:pPr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:rsidRPr="00B56B2A" w:rsidR="00E24EE7" w:rsidP="00232A99" w:rsidRDefault="7C0B35B2" w14:paraId="4048FB4D" w14:textId="7792D76A">
            <w:pPr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232A99" w:rsidRDefault="7C0B35B2" w14:paraId="334E31D9" w14:textId="3C09DC03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9070 Meža gan</w:t>
            </w:r>
            <w:r w:rsidR="0008421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ī</w:t>
            </w: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bas</w:t>
            </w:r>
          </w:p>
          <w:p w:rsidRPr="00B56B2A" w:rsidR="00E24EE7" w:rsidP="00232A99" w:rsidRDefault="7C0B35B2" w14:paraId="50E6218B" w14:textId="530198D6">
            <w:pPr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1BCE3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22C2B" w:rsidR="0050724C" w:rsidP="0050724C" w:rsidRDefault="0050724C" w14:paraId="53E9643F" w14:textId="77777777">
            <w:pPr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2C2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Pr="006922B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:rsidRPr="00B56B2A" w:rsidR="00E24EE7" w:rsidP="00232A99" w:rsidRDefault="7C0B35B2" w14:paraId="026084D2" w14:textId="3C8105C9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41BCE38B">
              <w:rPr>
                <w:i/>
                <w:iCs/>
              </w:rPr>
              <w:t>9180* Nogāžu un gravu meži</w:t>
            </w:r>
          </w:p>
          <w:p w:rsidRPr="00B56B2A" w:rsidR="00E24EE7" w:rsidP="00232A99" w:rsidRDefault="7C0B35B2" w14:paraId="7C57EB1D" w14:textId="003BFFD0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en-US"/>
              </w:rPr>
            </w:pPr>
            <w:r w:rsidRPr="41BCE38B">
              <w:rPr>
                <w:i/>
                <w:iCs/>
              </w:rPr>
              <w:t>91D0* Purvaini meži</w:t>
            </w:r>
          </w:p>
          <w:p w:rsidRPr="00232A99" w:rsidR="00E24EE7" w:rsidP="00232A99" w:rsidRDefault="7C0B35B2" w14:paraId="5375E3C0" w14:textId="48EE67E7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en-US"/>
              </w:rPr>
            </w:pPr>
            <w:r w:rsidRPr="41BCE38B">
              <w:rPr>
                <w:i/>
                <w:iCs/>
              </w:rPr>
              <w:t>91E0* Aluviāli meži (aluviāli krastmalu un palieņu meži)</w:t>
            </w:r>
          </w:p>
        </w:tc>
      </w:tr>
      <w:tr w:rsidR="00862AC6" w:rsidTr="41BCE38B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lastRenderedPageBreak/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232A99" w:rsidRDefault="357810E8" w14:paraId="6F6CD726" w14:textId="7EC4D26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:rsidRPr="00B56B2A" w:rsidR="00B07F83" w:rsidP="00232A99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232A99" w:rsidRDefault="65ED0719" w14:paraId="12DCA64D" w14:textId="01FA2B19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82E708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Agnese Priede</w:t>
            </w:r>
            <w:r w:rsidRPr="482E708A" w:rsidR="4E278CB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Baiba Galniece</w:t>
            </w:r>
            <w:r w:rsidRPr="482E708A" w:rsidR="357810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:rsidRPr="00B56B2A" w:rsidR="00B07F83" w:rsidP="00232A99" w:rsidRDefault="357810E8" w14:paraId="5C4C4F6B" w14:textId="5729AB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5B600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</w:t>
            </w:r>
            <w:r w:rsidRPr="05B60022" w:rsidR="0A8236A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Agnese Priede</w:t>
            </w:r>
            <w:r w:rsidRPr="05B600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(purvi un avoti)</w:t>
            </w:r>
          </w:p>
          <w:p w:rsidR="6990D638" w:rsidP="00232A99" w:rsidRDefault="6990D638" w14:paraId="77EFD36D" w14:textId="4CF4CF98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Pr="3EA197EF" w:rsidR="31EE5C5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:rsidRPr="00B56B2A" w:rsidR="00B07F83" w:rsidP="00232A99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1BCE38B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002B69A9" w14:paraId="662FC875" w14:textId="43A79798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21.03.2024.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3B4EF1F1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00E24EE7" w14:paraId="6E77A8DF" w14:textId="172F95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Pr="00B56B2A" w:rsidR="05F7C7E6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Pr="00B56B2A" w:rsidR="50F1D553" w:rsidTr="3B4EF1F1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002B69A9" w:rsidRDefault="17452464" w14:paraId="59D8BE68" w14:textId="50CC052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1210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17452464" w14:paraId="61ED110A" w14:textId="4E131B7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1220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17452464" w14:paraId="57E8E2DC" w14:textId="49B35C1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1310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17452464" w14:paraId="5CC59F6A" w14:textId="30CF4FA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1640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17452464" w14:paraId="6D5E6E00" w14:textId="3686B56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2110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17452464" w14:paraId="07E5A0CC" w14:textId="0A0518A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2120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17452464" w14:paraId="708A49A7" w14:textId="7DBBF4B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2130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*: biotopa mērķplatība ir vienāda ar pašreizējo.</w:t>
            </w:r>
          </w:p>
          <w:p w:rsidRPr="00B56B2A" w:rsidR="0092068E" w:rsidP="002B69A9" w:rsidRDefault="17452464" w14:paraId="300BFCCA" w14:textId="4C661AA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2140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*: biotopa mērķplatība ir vienāda ar pašreizējo.</w:t>
            </w:r>
          </w:p>
          <w:p w:rsidRPr="00B56B2A" w:rsidR="0092068E" w:rsidP="002B69A9" w:rsidRDefault="17452464" w14:paraId="7EB0F789" w14:textId="521AFD4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92068E" w:rsidP="002B69A9" w:rsidRDefault="3E6C6C03" w14:paraId="356E45A9" w14:textId="69C97E1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B4EF1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2320</w:t>
            </w:r>
            <w:r w:rsidRPr="3B4EF1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5F3590FA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5F3590FA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831808" w:rsidRDefault="37EAEF94" w14:paraId="1D697C1D" w14:textId="1A6D117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5F3590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F3590F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3EF79754" w:rsidP="00831808" w:rsidRDefault="37EAEF94" w14:paraId="7BA91403" w14:textId="5832D73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F3590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831808" w:rsidRDefault="37EAEF94" w14:paraId="74228DA7" w14:textId="4BBEE51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5F3590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F3590F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3EF79754" w:rsidP="00831808" w:rsidRDefault="37EAEF94" w14:paraId="19968FBE" w14:textId="0422656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F3590F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F3590F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C2F328B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2C2F328B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00061986" w:rsidRDefault="37055943" w14:paraId="3A98BD9F" w14:textId="1275661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5130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061986" w:rsidRDefault="5DAD1BAF" w14:paraId="4FABA7F0" w14:textId="545781E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 veido pašreizējās un potenciālā biotopa platība</w:t>
            </w:r>
            <w:r w:rsidRPr="56CA040C" w:rsidR="0B614BA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Pr="56CA040C" w:rsidR="42C39D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Mērķplatībā ietverta teritorija, kas</w:t>
            </w:r>
            <w:r w:rsidRPr="56CA040C" w:rsidR="491336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6CA040C" w:rsidR="42C39D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plāna</w:t>
            </w:r>
            <w:r w:rsidRPr="56CA040C" w:rsidR="71A1FDF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(2023.</w:t>
            </w:r>
            <w:r w:rsidR="008318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56CA040C" w:rsidR="71A1FDF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56CA040C" w:rsidR="71A1FDF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56CA040C" w:rsidR="71A1FDF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56CA040C" w:rsidR="42C39D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izstrādes</w:t>
            </w:r>
            <w:r w:rsidRPr="56CA040C" w:rsidR="04518F0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6CA040C" w:rsidR="01CFE2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procesā </w:t>
            </w:r>
            <w:r w:rsidR="000619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(Enviroprojekts, 2023, izstrādes stadijā) </w:t>
            </w:r>
            <w:r w:rsidRPr="56CA040C" w:rsidR="01CFE2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novērtēta kā potenciāla </w:t>
            </w:r>
            <w:r w:rsidR="0006198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kadiķu audze, kas var attīstīties</w:t>
            </w:r>
            <w:r w:rsidRPr="56CA040C" w:rsidR="44E437D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veicot nepieciešamo atjaunošanu un apsaimniekošanu.</w:t>
            </w:r>
          </w:p>
          <w:p w:rsidRPr="00B56B2A" w:rsidR="00872DEB" w:rsidP="00061986" w:rsidRDefault="37055943" w14:paraId="16191BCB" w14:textId="5D71C55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061986" w:rsidRDefault="407DF73D" w14:paraId="0CA9246C" w14:textId="379FB23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 veido pašreizējās un potenciālās biotopa platības. Mērķ</w:t>
            </w:r>
            <w:r w:rsidR="000E3A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latībā ietvertas teritorijas, kas dabas aizsardzības plāna (2023.</w:t>
            </w:r>
            <w:r w:rsidR="002B0CB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izstrādes procesā </w:t>
            </w:r>
            <w:r w:rsidR="002B0CB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(Enviroprojekts, 2023, izstrādes stadijā) 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novērtēta</w:t>
            </w:r>
            <w:r w:rsidRPr="56CA040C" w:rsidR="7353887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002B0CB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6120*</w:t>
            </w:r>
            <w:r w:rsidR="002B0CB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biotopi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56CA040C" w:rsidR="6145973A">
              <w:rPr>
                <w:rFonts w:ascii="Times New Roman" w:hAnsi="Times New Roman" w:eastAsia="Times New Roman" w:cs="Times New Roman"/>
                <w:sz w:val="24"/>
                <w:szCs w:val="24"/>
              </w:rPr>
              <w:t>turpinot mērķtiecīgi apsaimniekot pašlaik biotopa minimālajiem kritērijiem neatbilstošus zālājus un atmatas.</w:t>
            </w:r>
          </w:p>
          <w:p w:rsidRPr="00B56B2A" w:rsidR="00872DEB" w:rsidP="00061986" w:rsidRDefault="37055943" w14:paraId="451F57BC" w14:textId="25A77B0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="008D3FD7" w:rsidP="008D3FD7" w:rsidRDefault="657E2C3A" w14:paraId="07190C84" w14:textId="7777777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 veido pašreizējās un potenciālās biotopa platības. Mērķplatībā ietvertas teritorijas, kas dabas aizsardzības plāna (2023.</w:t>
            </w:r>
            <w:r w:rsidR="00FF21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izstrādes procesā </w:t>
            </w:r>
            <w:r w:rsidR="00FF21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(Enviroprojekts, 2023, </w:t>
            </w:r>
            <w:r w:rsidR="00FF21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izstrādes stadijā) 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novērtētas kā potenciāl</w:t>
            </w:r>
            <w:r w:rsidR="008D3F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6210</w:t>
            </w:r>
            <w:r w:rsidR="008D3F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biotopi, </w:t>
            </w:r>
            <w:r w:rsidRPr="2C2F328B"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kuras </w:t>
            </w:r>
            <w:r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šobrīd vēl </w:t>
            </w:r>
            <w:r w:rsidRPr="2C2F328B"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nav sasniegušas ES nozīmes biotopa kvalitāti</w:t>
            </w:r>
            <w:r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, bet kuru platības iespējams palielināt, mērķtiecīgi atjaunojot un regulāri apsaimniekojot</w:t>
            </w:r>
            <w:r w:rsidRPr="2C2F328B"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Pr="00B56B2A" w:rsidR="00872DEB" w:rsidP="00061986" w:rsidRDefault="37055943" w14:paraId="4EC6B08F" w14:textId="70DB4A0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</w:t>
            </w:r>
            <w:r w:rsidR="00FF21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platība 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 vienāda ar pašreizējo.</w:t>
            </w:r>
          </w:p>
          <w:p w:rsidRPr="00B56B2A" w:rsidR="00872DEB" w:rsidP="00061986" w:rsidRDefault="37055943" w14:paraId="793CA348" w14:textId="4823C51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8D3FD7" w:rsidR="00872DEB" w:rsidP="008D3FD7" w:rsidRDefault="0B7D9127" w14:paraId="308EDEF1" w14:textId="411919D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 veido pašreizējās un potenciālās biotopa platības. Mērķplatībā ietvertas teritorijas, kas dabas aizsardzības plāna (2023.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697D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izstrādes procesā </w:t>
            </w:r>
            <w:r w:rsidR="000E3A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(Enviroprojekts, 2023, izstrādes stadijā) 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novērtētas kā potenciāl</w:t>
            </w:r>
            <w:r w:rsidR="000E3A6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62</w:t>
            </w:r>
            <w:r w:rsidRPr="251AA6C2" w:rsidR="28C32B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70*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biotopi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2C2F328B"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kuras </w:t>
            </w:r>
            <w:r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šobrīd vēl </w:t>
            </w:r>
            <w:r w:rsidRPr="2C2F328B"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nav sasniegušas ES nozīmes biotopa kvalitāti</w:t>
            </w:r>
            <w:r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, bet kuru platības iespējams palielināt, mērķtiecīgi atjaunojot un regulāri apsaimniekojot</w:t>
            </w:r>
            <w:r w:rsidRPr="2C2F328B"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Pr="00B56B2A" w:rsidR="00872DEB" w:rsidP="00061986" w:rsidRDefault="1E049B47" w14:paraId="5CE0ABC7" w14:textId="2F7BFDB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51AA6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641</w:t>
            </w:r>
            <w:r w:rsidRPr="251AA6C2" w:rsidR="3705594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251AA6C2" w:rsidR="370559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="38CFFC85" w:rsidP="00061986" w:rsidRDefault="38CFFC85" w14:paraId="15B1DDC6" w14:textId="5279A23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 veido pašreizējās un potenciālās biotopa platības. Mērķa platībā ietvertas teritorijas, kas dabas aizsardzības plāna (</w:t>
            </w:r>
            <w:r w:rsidRPr="251AA6C2"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2023.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251AA6C2"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51AA6C2"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izstrādes procesā </w:t>
            </w:r>
            <w:r w:rsidR="00555D5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(Enviroprojekts, 2023, izstrādes stadijā) 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novērtētas kā potenciāl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6410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biotopi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2C2F328B" w:rsidR="1210B4D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kuras </w:t>
            </w:r>
            <w:r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šobrīd vēl </w:t>
            </w:r>
            <w:r w:rsidRPr="2C2F328B" w:rsidR="1210B4DB">
              <w:rPr>
                <w:rFonts w:ascii="Times New Roman" w:hAnsi="Times New Roman" w:eastAsia="Times New Roman" w:cs="Times New Roman"/>
                <w:sz w:val="24"/>
                <w:szCs w:val="24"/>
              </w:rPr>
              <w:t>nav sasniegušas ES nozīmes</w:t>
            </w:r>
            <w:r w:rsidRPr="2C2F328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</w:t>
            </w:r>
            <w:r w:rsidRPr="2C2F328B" w:rsidR="10092108">
              <w:rPr>
                <w:rFonts w:ascii="Times New Roman" w:hAnsi="Times New Roman" w:eastAsia="Times New Roman" w:cs="Times New Roman"/>
                <w:sz w:val="24"/>
                <w:szCs w:val="24"/>
              </w:rPr>
              <w:t>kvalitāti</w:t>
            </w:r>
            <w:r w:rsidR="008D3FD7">
              <w:rPr>
                <w:rFonts w:ascii="Times New Roman" w:hAnsi="Times New Roman" w:eastAsia="Times New Roman" w:cs="Times New Roman"/>
                <w:sz w:val="24"/>
                <w:szCs w:val="24"/>
              </w:rPr>
              <w:t>, bet kuru platības iespējams palielināt, mērķtiecīgi atjaunojot un regulāri apsaimniekojot</w:t>
            </w:r>
            <w:r w:rsidRPr="2C2F328B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="2C76F307" w:rsidP="00061986" w:rsidRDefault="2C76F307" w14:paraId="2792C97D" w14:textId="61A9843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ajā platībā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tika 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ietvertas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arī 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“Apsaimniekošanas pasākumu veikšana īpaši aizsargājamās dabas teritorijās un mikroliegumos biotopu un sugu aizsardzības stāvokļa uzlabošanai” 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projektā </w:t>
            </w:r>
            <w:r w:rsidRPr="2C2F32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(2021.–2023. gads) </w:t>
            </w:r>
            <w:r w:rsidR="00925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Ķemeru Nacionālajā parkā atjaunotās 6410 biotopam (potenciāli) atbilstošās pļavas.</w:t>
            </w:r>
          </w:p>
          <w:p w:rsidRPr="00B56B2A" w:rsidR="00872DEB" w:rsidP="00061986" w:rsidRDefault="37055943" w14:paraId="4C79B8E5" w14:textId="0858C40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061986" w:rsidRDefault="50B04CE3" w14:paraId="75B291CA" w14:textId="7A87D86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Mērķplatību veido pašreizējās un potenciālās biotopa platības. Potenciālajās platībās ietvertas tās teritorijas, kuras šobrīd DDPS 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Ozols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ar kod</w:t>
            </w:r>
            <w:r w:rsidRPr="251AA6C2" w:rsidR="6497DDE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1AA6C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6100 Atjaunoti ES </w:t>
            </w:r>
            <w:r w:rsidRPr="251AA6C2" w:rsidR="08EE9BB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aizsargājamie biotopi</w:t>
            </w:r>
            <w:r w:rsidRPr="251AA6C2" w:rsidR="33D86C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bet nākotnē paredzama attīstība 6450 biotopa virzienā.</w:t>
            </w:r>
            <w:r w:rsidRPr="251AA6C2" w:rsidR="5FC34B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Arī </w:t>
            </w:r>
            <w:r w:rsidRPr="251AA6C2" w:rsidR="283DC1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</w:t>
            </w:r>
            <w:r w:rsidRPr="251AA6C2" w:rsidR="283DC1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as plāna </w:t>
            </w:r>
            <w:r w:rsidRPr="251AA6C2" w:rsidR="4C177D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(2023.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251AA6C2" w:rsidR="4C177D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51AA6C2" w:rsidR="4C177D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F2776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251AA6C2" w:rsidR="4C177D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251AA6C2" w:rsidR="283DC1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ietvaros </w:t>
            </w:r>
            <w:r w:rsidR="00555D5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(Enviroprojekts, 2023, izstrādes stadijā) </w:t>
            </w:r>
            <w:r w:rsidRPr="251AA6C2" w:rsidR="283DC1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identificētas </w:t>
            </w:r>
            <w:r w:rsidRPr="251AA6C2" w:rsidR="5FC34B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</w:t>
            </w:r>
            <w:r w:rsidR="00555D5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</w:t>
            </w:r>
            <w:r w:rsidRPr="251AA6C2" w:rsidR="0C495C7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</w:t>
            </w:r>
            <w:r w:rsidRPr="251AA6C2" w:rsidR="5FC34B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palieņu zālāj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 platības, kuras šobrīd nekv</w:t>
            </w:r>
            <w:r w:rsidRPr="251AA6C2" w:rsidR="7E6BBA1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</w:t>
            </w:r>
            <w:r w:rsidRPr="251AA6C2" w:rsidR="1A4EA8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ificējas 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kā ES nozīmes biotops, bet ir </w:t>
            </w:r>
            <w:r w:rsidRPr="251AA6C2" w:rsidR="780CD21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liels 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potenciāls</w:t>
            </w:r>
            <w:r w:rsidRPr="251AA6C2" w:rsidR="02E0075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nākotnē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tos </w:t>
            </w:r>
            <w:r w:rsidRPr="251AA6C2" w:rsidR="5C4D2A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turpinot 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apsaimnieko</w:t>
            </w:r>
            <w:r w:rsidRPr="251AA6C2" w:rsidR="7FD4CB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Pr="251AA6C2" w:rsidR="55F3BD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veicot 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atjauno</w:t>
            </w:r>
            <w:r w:rsidRPr="251AA6C2" w:rsidR="3C941B8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šanu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aizaug</w:t>
            </w:r>
            <w:r w:rsidRPr="251AA6C2" w:rsidR="0D769A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š</w:t>
            </w:r>
            <w:r w:rsidRPr="251AA6C2" w:rsidR="759AE3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251AA6C2" w:rsidR="70E330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jās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platīb</w:t>
            </w:r>
            <w:r w:rsidRPr="251AA6C2" w:rsidR="1717057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251AA6C2" w:rsidR="5EA01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s.</w:t>
            </w:r>
          </w:p>
          <w:p w:rsidRPr="00B56B2A" w:rsidR="00872DEB" w:rsidP="00061986" w:rsidRDefault="37055943" w14:paraId="1C8F23B4" w14:textId="4609654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="008D3FD7" w:rsidP="008D3FD7" w:rsidRDefault="23259DFF" w14:paraId="35F0D73D" w14:textId="7777777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Mērķplatību veido pašreizējās un potenciālās biotopa platības. Potenciālajās platībās iekļautas tās teritorijas, kas </w:t>
            </w:r>
            <w:r w:rsidR="007A24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skaitīšana</w:t>
            </w:r>
            <w:r w:rsidR="007A24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s” projektā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51AA6C2" w:rsidR="23A9D0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(2017.</w:t>
            </w:r>
            <w:r w:rsidR="007A24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251AA6C2" w:rsidR="23A9D0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202</w:t>
            </w:r>
            <w:r w:rsidR="007A24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3. g</w:t>
            </w:r>
            <w:r w:rsidRPr="251AA6C2" w:rsidR="23A9D02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ads) </w:t>
            </w:r>
            <w:r w:rsidRPr="251AA6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uzka</w:t>
            </w:r>
            <w:r w:rsidRPr="251AA6C2" w:rsidR="298C34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rtētas kā potenciāl</w:t>
            </w:r>
            <w:r w:rsidR="000B446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as 6510</w:t>
            </w:r>
            <w:r w:rsidRPr="251AA6C2" w:rsidR="298C346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B4465" w:rsidR="000B446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platības</w:t>
            </w:r>
            <w:r w:rsidRPr="000B4465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</w:t>
            </w:r>
            <w:r w:rsidRPr="251AA6C2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arī teritorijas, kas dabas aizsardzības plāna (2023.</w:t>
            </w:r>
            <w:r w:rsidR="000B446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251AA6C2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2035.</w:t>
            </w:r>
            <w:r w:rsidR="000B446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51AA6C2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</w:t>
            </w:r>
            <w:r w:rsidR="000B446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ads</w:t>
            </w:r>
            <w:r w:rsidRPr="251AA6C2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 izstrādes procesā</w:t>
            </w:r>
            <w:r w:rsidR="008D3F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Enviroprojekts, 2023, izstrādes stadijā)</w:t>
            </w:r>
            <w:r w:rsidRPr="251AA6C2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novērtētas kā potenciāl</w:t>
            </w:r>
            <w:r w:rsidR="008D3F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 w:rsidRPr="251AA6C2" w:rsidR="6F3DE39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6510</w:t>
            </w:r>
            <w:r w:rsidR="008D3FD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biotopi. </w:t>
            </w:r>
          </w:p>
          <w:p w:rsidRPr="00B56B2A" w:rsidR="00872DEB" w:rsidP="008D3FD7" w:rsidRDefault="37055943" w14:paraId="2CC21EAE" w14:textId="48B7197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6CA040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56CA040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805C7CF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1805C7CF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4B2C58" w:rsidRDefault="69D4A943" w14:paraId="1F842D84" w14:textId="2244471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805C7C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805C7CF" w:rsidR="5EBC175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</w:t>
            </w:r>
          </w:p>
          <w:p w:rsidR="5EBC175E" w:rsidP="004B2C58" w:rsidRDefault="5EBC175E" w14:paraId="312DC7F7" w14:textId="199E25F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Dabiskās sukcesijas rezultātā k</w:t>
            </w:r>
            <w:r w:rsidRPr="1805C7CF" w:rsidR="3C2E5F3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dreizējās kūdras ieguves vietas attīstās aktīva augstā purva virzienā</w:t>
            </w:r>
            <w:r w:rsidRPr="1805C7CF" w:rsidR="6584587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133,2</w:t>
            </w:r>
            <w:r w:rsidRPr="1805C7CF" w:rsidR="666EB1A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4</w:t>
            </w:r>
            <w:r w:rsidR="004B2C5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1805C7CF" w:rsidR="6584587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ha platībā</w:t>
            </w:r>
            <w:r w:rsidRPr="1805C7CF" w:rsidR="21E768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72DEB" w:rsidP="004B2C58" w:rsidRDefault="69D4A943" w14:paraId="01D91403" w14:textId="52276EB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805C7C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805C7CF" w:rsidR="18CA9C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009A425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9A425F" w:rsidP="004B2C58" w:rsidRDefault="009A425F" w14:paraId="4230580C" w14:textId="6F0FD90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>Ilgākā laikā, kas mērāms vismaz vairākos gadu desmitos</w:t>
            </w:r>
            <w:r w:rsidR="00EE41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un netiek iekļauts šajā mērķī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, iespējama </w:t>
            </w:r>
            <w:r w:rsidR="00314B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>degradēto purvu attīstība par aktīviem augstajiem purviem, tai skaitā vietās, kur jau veikta hidroloģiskā režīma atjaunošana, taču aktīva augstā purva</w:t>
            </w:r>
            <w:r w:rsidR="00834BD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līdz atbilstībai 7110* biotopam</w:t>
            </w:r>
            <w:r w:rsidR="00314B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atjaunošanās aizņem</w:t>
            </w:r>
            <w:r w:rsidR="00EE41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  <w:t>s ilgu laiku.</w:t>
            </w:r>
          </w:p>
          <w:p w:rsidRPr="00B56B2A" w:rsidR="00872DEB" w:rsidP="004B2C58" w:rsidRDefault="69D4A943" w14:paraId="36A05C69" w14:textId="6A5773B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805C7C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805C7CF" w:rsidR="608C4D6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</w:t>
            </w:r>
          </w:p>
          <w:p w:rsidR="608C4D67" w:rsidP="006033A2" w:rsidRDefault="608C4D67" w14:paraId="51C1653D" w14:textId="30C6FAC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Dabiskās sukcesijas rezultātā kādreizējās kūdras ieguves vietas attīstās </w:t>
            </w:r>
            <w:r w:rsidR="00D732E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pārejas purvu un slīkšņu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virzienā 35,67</w:t>
            </w:r>
            <w:r w:rsidR="001469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ha platībā.</w:t>
            </w:r>
          </w:p>
          <w:p w:rsidRPr="00B56B2A" w:rsidR="00872DEB" w:rsidP="006033A2" w:rsidRDefault="69D4A943" w14:paraId="486F7BB3" w14:textId="1FF6CAB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5B6002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7150*</w:t>
            </w:r>
            <w:r w:rsidRPr="05B600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6033A2" w:rsidRDefault="69D4A943" w14:paraId="5E7E31CD" w14:textId="541E07B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5B6002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5B600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="69D4A943" w:rsidP="006033A2" w:rsidRDefault="69D4A943" w14:paraId="0EE0DE3A" w14:textId="0B7C8E2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805C7C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1805C7CF" w:rsidR="28798E7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805C7C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10*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805C7CF" w:rsidR="781D0EC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</w:t>
            </w:r>
            <w:r w:rsidR="001469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781D0ECD" w:rsidP="006033A2" w:rsidRDefault="781D0ECD" w14:paraId="1BE6D393" w14:textId="1022D69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Dabiskās sukcesijas rezultātā kādreizējās kūdras ieguves vietas attīstās </w:t>
            </w:r>
            <w:r w:rsidR="001469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7210* biotopa 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virzienā </w:t>
            </w:r>
            <w:r w:rsidR="001469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vismaz 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109,15</w:t>
            </w:r>
            <w:r w:rsidR="001469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ha platīb</w:t>
            </w:r>
            <w:r w:rsidR="001469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="006033A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aizaugot ar dižo aslapi.</w:t>
            </w:r>
          </w:p>
          <w:p w:rsidRPr="00B56B2A" w:rsidR="00872DEB" w:rsidP="006033A2" w:rsidRDefault="44133C04" w14:paraId="75DFA717" w14:textId="1C09DCE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805C7C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7220</w:t>
            </w:r>
            <w:r w:rsidRPr="1805C7C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1805C7CF" w:rsidR="74959E4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006033A2" w:rsidRDefault="69D4A943" w14:paraId="01D38112" w14:textId="7E3D5EF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5B6002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5B60022" w:rsidR="54CCD2C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23</w:t>
            </w:r>
            <w:r w:rsidRPr="05B6002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5B600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872DEB" w:rsidP="50F1D553" w:rsidRDefault="00872DEB" w14:paraId="0FC941E8" w14:textId="65AA986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1613F9" w:rsidTr="00C74B8A" w14:paraId="40AE87F0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1613F9" w:rsidP="00C74B8A" w:rsidRDefault="001613F9" w14:paraId="3A85F902" w14:textId="1CB223D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Pr="00B56B2A" w:rsidR="001613F9" w:rsidTr="00C74B8A" w14:paraId="139D2B95" w14:textId="77777777">
        <w:trPr>
          <w:trHeight w:val="300"/>
        </w:trPr>
        <w:tc>
          <w:tcPr>
            <w:tcW w:w="9629" w:type="dxa"/>
          </w:tcPr>
          <w:p w:rsidR="003A4E45" w:rsidP="000727A2" w:rsidRDefault="003A4E45" w14:paraId="3928B56F" w14:textId="27038CC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821</w:t>
            </w:r>
            <w:r w:rsidRPr="732A150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:rsidRPr="00B56B2A" w:rsidR="001613F9" w:rsidP="000727A2" w:rsidRDefault="002F12C7" w14:paraId="02A1C8B3" w14:textId="7FBE23D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2F12C7">
              <w:rPr>
                <w:rFonts w:ascii="Times New Roman" w:hAnsi="Times New Roman" w:eastAsia="Times New Roman" w:cs="Times New Roman"/>
                <w:sz w:val="24"/>
                <w:szCs w:val="24"/>
              </w:rPr>
              <w:t>Atsegums atrodas iežogotas rūpnieciskas teritorijas nomalē</w:t>
            </w:r>
            <w:r w:rsidR="00A478EA">
              <w:rPr>
                <w:rFonts w:ascii="Times New Roman" w:hAnsi="Times New Roman" w:eastAsia="Times New Roman" w:cs="Times New Roman"/>
                <w:sz w:val="24"/>
                <w:szCs w:val="24"/>
              </w:rPr>
              <w:t>, izstrādāta un appludināta karjera malā.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7DB3E33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77DB3E33" w14:paraId="3A2C9888" w14:textId="77777777">
        <w:trPr>
          <w:trHeight w:val="300"/>
        </w:trPr>
        <w:tc>
          <w:tcPr>
            <w:tcW w:w="9629" w:type="dxa"/>
            <w:tcMar/>
          </w:tcPr>
          <w:p w:rsidRPr="00232A99" w:rsidR="00872DEB" w:rsidP="41BCE38B" w:rsidRDefault="335689B4" w14:paraId="6B4588CE" w14:textId="0CACFE74">
            <w:pPr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9010*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 Biotopa 90</w:t>
            </w:r>
            <w:r w:rsidRPr="77DB3E33" w:rsidR="165A31B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1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0* un citu biotopu mērķplatību noteikšanā izmantoti vispārīgi apsvērumi (skatīt 3.1.1.6. nod.).</w:t>
            </w:r>
          </w:p>
          <w:p w:rsidRPr="00232A99" w:rsidR="00872DEB" w:rsidP="77DB3E33" w:rsidRDefault="335689B4" w14:paraId="10716980" w14:textId="0F62C61A">
            <w:pPr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9020*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biotopa mērķplatība ir </w:t>
            </w:r>
            <w:r w:rsidRPr="77DB3E33" w:rsidR="43E9E4B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lielāka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7DB3E33" w:rsidR="2C668EC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B56B2A" w:rsidR="00872DEB" w:rsidP="77DB3E33" w:rsidRDefault="335689B4" w14:paraId="6226428D" w14:textId="61142A3D">
            <w:pPr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9050: 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B56B2A" w:rsidR="00872DEB" w:rsidP="77DB3E33" w:rsidRDefault="335689B4" w14:paraId="1C573CBC" w14:textId="7C70A169">
            <w:pPr>
              <w:pStyle w:val="Normal"/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9070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</w:t>
            </w:r>
            <w:r w:rsidRPr="77DB3E33" w:rsidR="3451897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biotopa mērķplatība ir lielāka par pašreizējo</w:t>
            </w:r>
            <w:r w:rsidRPr="77DB3E33" w:rsidR="5EA0150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232A99" w:rsidR="00872DEB" w:rsidP="77DB3E33" w:rsidRDefault="335689B4" w14:paraId="751C8EE2" w14:textId="5D67B98F">
            <w:pPr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9080*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biotopa mērķplatība ir </w:t>
            </w:r>
            <w:r w:rsidRPr="77DB3E33" w:rsidR="00A63C9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lielāka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7DB3E33" w:rsidR="63C578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</w:p>
          <w:p w:rsidRPr="00232A99" w:rsidR="00872DEB" w:rsidP="77DB3E33" w:rsidRDefault="335689B4" w14:paraId="3BB49E1D" w14:textId="0815E28A">
            <w:pPr>
              <w:pStyle w:val="Normal"/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9160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7DB3E33" w:rsidR="14A52FF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</w:p>
          <w:p w:rsidR="14A52FFA" w:rsidP="77DB3E33" w:rsidRDefault="14A52FFA" w14:paraId="59B8E119" w14:textId="11871EE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7DB3E33" w:rsidR="14A52FF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9180*</w:t>
            </w:r>
            <w:r w:rsidRPr="77DB3E33" w:rsidR="14A52FF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232A99" w:rsidR="00872DEB" w:rsidP="77DB3E33" w:rsidRDefault="335689B4" w14:paraId="10F83EB7" w14:textId="5C5AEB54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91D0*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biotopa mērķplatība ir </w:t>
            </w:r>
            <w:r w:rsidRPr="77DB3E33" w:rsidR="5F75D6F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</w:t>
            </w:r>
            <w:r w:rsidRPr="77DB3E33" w:rsidR="3DD3C79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</w:t>
            </w:r>
            <w:r w:rsidRPr="77DB3E33" w:rsidR="5F75D6F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āka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7DB3E33" w:rsidR="295F3D0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</w:p>
          <w:p w:rsidRPr="00B56B2A" w:rsidR="00872DEB" w:rsidP="77DB3E33" w:rsidRDefault="335689B4" w14:paraId="10196B0D" w14:textId="5F8180D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77DB3E33" w:rsidR="335689B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91E0*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biotopa mērķplatība ir </w:t>
            </w:r>
            <w:r w:rsidRPr="77DB3E33" w:rsidR="7191202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lielāka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7DB3E33" w:rsidR="53A7A90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</w:t>
            </w:r>
            <w:r w:rsidRPr="77DB3E33" w:rsidR="335689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3F4B17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4B17" w:rsidP="00065CAF" w:rsidRDefault="003F4B17" w14:paraId="7499ECD1" w14:textId="77777777">
      <w:pPr>
        <w:spacing w:line="240" w:lineRule="auto"/>
      </w:pPr>
      <w:r>
        <w:separator/>
      </w:r>
    </w:p>
  </w:endnote>
  <w:endnote w:type="continuationSeparator" w:id="0">
    <w:p w:rsidR="003F4B17" w:rsidP="00065CAF" w:rsidRDefault="003F4B17" w14:paraId="5117C90D" w14:textId="77777777">
      <w:pPr>
        <w:spacing w:line="240" w:lineRule="auto"/>
      </w:pPr>
      <w:r>
        <w:continuationSeparator/>
      </w:r>
    </w:p>
  </w:endnote>
  <w:endnote w:type="continuationNotice" w:id="1">
    <w:p w:rsidR="003F4B17" w:rsidRDefault="003F4B17" w14:paraId="528C021D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4B17" w:rsidP="00065CAF" w:rsidRDefault="003F4B17" w14:paraId="68677184" w14:textId="77777777">
      <w:pPr>
        <w:spacing w:line="240" w:lineRule="auto"/>
      </w:pPr>
      <w:r>
        <w:separator/>
      </w:r>
    </w:p>
  </w:footnote>
  <w:footnote w:type="continuationSeparator" w:id="0">
    <w:p w:rsidR="003F4B17" w:rsidP="00065CAF" w:rsidRDefault="003F4B17" w14:paraId="77AF8F76" w14:textId="77777777">
      <w:pPr>
        <w:spacing w:line="240" w:lineRule="auto"/>
      </w:pPr>
      <w:r>
        <w:continuationSeparator/>
      </w:r>
    </w:p>
  </w:footnote>
  <w:footnote w:type="continuationNotice" w:id="1">
    <w:p w:rsidR="003F4B17" w:rsidRDefault="003F4B17" w14:paraId="4A51560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1986"/>
    <w:rsid w:val="00062FCF"/>
    <w:rsid w:val="00065CAF"/>
    <w:rsid w:val="000727A2"/>
    <w:rsid w:val="0008421C"/>
    <w:rsid w:val="00094A51"/>
    <w:rsid w:val="000B3CFF"/>
    <w:rsid w:val="000B4465"/>
    <w:rsid w:val="000D353D"/>
    <w:rsid w:val="000D7C62"/>
    <w:rsid w:val="000E0223"/>
    <w:rsid w:val="000E3A64"/>
    <w:rsid w:val="000E4EC0"/>
    <w:rsid w:val="000E5E77"/>
    <w:rsid w:val="000F25D6"/>
    <w:rsid w:val="00103855"/>
    <w:rsid w:val="0014309F"/>
    <w:rsid w:val="0014503A"/>
    <w:rsid w:val="00146977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2A9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0CB6"/>
    <w:rsid w:val="002B69A9"/>
    <w:rsid w:val="002C42A8"/>
    <w:rsid w:val="002C62C4"/>
    <w:rsid w:val="002F12C7"/>
    <w:rsid w:val="002F2448"/>
    <w:rsid w:val="003144A2"/>
    <w:rsid w:val="00314B10"/>
    <w:rsid w:val="00343327"/>
    <w:rsid w:val="00355E53"/>
    <w:rsid w:val="00362DA7"/>
    <w:rsid w:val="00365548"/>
    <w:rsid w:val="00384E0C"/>
    <w:rsid w:val="00391C9B"/>
    <w:rsid w:val="003A4E45"/>
    <w:rsid w:val="003F4B17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B2C58"/>
    <w:rsid w:val="004B2FC2"/>
    <w:rsid w:val="004D5A35"/>
    <w:rsid w:val="00506E1F"/>
    <w:rsid w:val="0050724C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55D54"/>
    <w:rsid w:val="005831EC"/>
    <w:rsid w:val="005930A6"/>
    <w:rsid w:val="005A642F"/>
    <w:rsid w:val="005D151C"/>
    <w:rsid w:val="005D7DDF"/>
    <w:rsid w:val="005F6D2A"/>
    <w:rsid w:val="006033A2"/>
    <w:rsid w:val="00620CDB"/>
    <w:rsid w:val="00624FFF"/>
    <w:rsid w:val="00633571"/>
    <w:rsid w:val="00646709"/>
    <w:rsid w:val="00692775"/>
    <w:rsid w:val="00697DBD"/>
    <w:rsid w:val="006B38BE"/>
    <w:rsid w:val="006B6574"/>
    <w:rsid w:val="006C1ED0"/>
    <w:rsid w:val="006D06B8"/>
    <w:rsid w:val="006F4D91"/>
    <w:rsid w:val="006F7510"/>
    <w:rsid w:val="0072336C"/>
    <w:rsid w:val="00727063"/>
    <w:rsid w:val="00730571"/>
    <w:rsid w:val="00732728"/>
    <w:rsid w:val="00740149"/>
    <w:rsid w:val="0075639E"/>
    <w:rsid w:val="007827F9"/>
    <w:rsid w:val="007A1F9A"/>
    <w:rsid w:val="007A2401"/>
    <w:rsid w:val="007A6C38"/>
    <w:rsid w:val="007C17E1"/>
    <w:rsid w:val="007C24E8"/>
    <w:rsid w:val="007C4238"/>
    <w:rsid w:val="007F05D5"/>
    <w:rsid w:val="00806B24"/>
    <w:rsid w:val="00807D31"/>
    <w:rsid w:val="00831808"/>
    <w:rsid w:val="00834BD3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3FD7"/>
    <w:rsid w:val="008D7272"/>
    <w:rsid w:val="008F0A08"/>
    <w:rsid w:val="008F7D8C"/>
    <w:rsid w:val="00901886"/>
    <w:rsid w:val="009028B9"/>
    <w:rsid w:val="009037FC"/>
    <w:rsid w:val="009070EC"/>
    <w:rsid w:val="0092068E"/>
    <w:rsid w:val="009258BD"/>
    <w:rsid w:val="00934A05"/>
    <w:rsid w:val="00961CCA"/>
    <w:rsid w:val="009675D2"/>
    <w:rsid w:val="009844C1"/>
    <w:rsid w:val="00993A5B"/>
    <w:rsid w:val="009A425F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478EA"/>
    <w:rsid w:val="00A51703"/>
    <w:rsid w:val="00A5629C"/>
    <w:rsid w:val="00A62D70"/>
    <w:rsid w:val="00A63C96"/>
    <w:rsid w:val="00A755D1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35294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32E8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3CCF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4187"/>
    <w:rsid w:val="00EF59FE"/>
    <w:rsid w:val="00F01D2E"/>
    <w:rsid w:val="00F156E9"/>
    <w:rsid w:val="00F21F9A"/>
    <w:rsid w:val="00F2776D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133"/>
    <w:rsid w:val="00FF2E6E"/>
    <w:rsid w:val="00FF5F17"/>
    <w:rsid w:val="01068E62"/>
    <w:rsid w:val="01223CFA"/>
    <w:rsid w:val="01AC70C1"/>
    <w:rsid w:val="01CFE234"/>
    <w:rsid w:val="0236A097"/>
    <w:rsid w:val="025AE811"/>
    <w:rsid w:val="02ABFECD"/>
    <w:rsid w:val="02E00756"/>
    <w:rsid w:val="031550F6"/>
    <w:rsid w:val="0328E8BA"/>
    <w:rsid w:val="03484122"/>
    <w:rsid w:val="03585049"/>
    <w:rsid w:val="039AA66C"/>
    <w:rsid w:val="041D1D3E"/>
    <w:rsid w:val="04518F06"/>
    <w:rsid w:val="0459DDBC"/>
    <w:rsid w:val="0469C957"/>
    <w:rsid w:val="04A94008"/>
    <w:rsid w:val="056599C3"/>
    <w:rsid w:val="05B60022"/>
    <w:rsid w:val="05F7C7E6"/>
    <w:rsid w:val="05FFCD5A"/>
    <w:rsid w:val="061D4ECA"/>
    <w:rsid w:val="0751DA95"/>
    <w:rsid w:val="076C4259"/>
    <w:rsid w:val="07C838E2"/>
    <w:rsid w:val="0888690F"/>
    <w:rsid w:val="08A6FA5A"/>
    <w:rsid w:val="08EE9BB1"/>
    <w:rsid w:val="092D4EDF"/>
    <w:rsid w:val="093CC44A"/>
    <w:rsid w:val="096195DB"/>
    <w:rsid w:val="0A529AB5"/>
    <w:rsid w:val="0A8236AB"/>
    <w:rsid w:val="0AD05FBB"/>
    <w:rsid w:val="0B614BA7"/>
    <w:rsid w:val="0B7D9127"/>
    <w:rsid w:val="0C495C79"/>
    <w:rsid w:val="0C794E6E"/>
    <w:rsid w:val="0CACEA7B"/>
    <w:rsid w:val="0D769ADA"/>
    <w:rsid w:val="0D8058F0"/>
    <w:rsid w:val="0E00C002"/>
    <w:rsid w:val="0E1082D7"/>
    <w:rsid w:val="0E11F7A1"/>
    <w:rsid w:val="0E5EE589"/>
    <w:rsid w:val="0EBADA33"/>
    <w:rsid w:val="0EC9CB71"/>
    <w:rsid w:val="0EEA749F"/>
    <w:rsid w:val="0F18CF9C"/>
    <w:rsid w:val="10092108"/>
    <w:rsid w:val="10A0CB44"/>
    <w:rsid w:val="10AFC604"/>
    <w:rsid w:val="10C3F2F5"/>
    <w:rsid w:val="10EA463E"/>
    <w:rsid w:val="1167F4A6"/>
    <w:rsid w:val="11CA8211"/>
    <w:rsid w:val="11CF0539"/>
    <w:rsid w:val="1210B4DB"/>
    <w:rsid w:val="124F8B63"/>
    <w:rsid w:val="12620ED9"/>
    <w:rsid w:val="128B7858"/>
    <w:rsid w:val="131FB4FB"/>
    <w:rsid w:val="13665272"/>
    <w:rsid w:val="13810FC6"/>
    <w:rsid w:val="14A52FFA"/>
    <w:rsid w:val="14BEDEA9"/>
    <w:rsid w:val="14CF32A7"/>
    <w:rsid w:val="150A8AEA"/>
    <w:rsid w:val="153682C6"/>
    <w:rsid w:val="15810E04"/>
    <w:rsid w:val="15B4EA12"/>
    <w:rsid w:val="16232FA9"/>
    <w:rsid w:val="165A31B1"/>
    <w:rsid w:val="1669F76E"/>
    <w:rsid w:val="166B0308"/>
    <w:rsid w:val="1678C0F1"/>
    <w:rsid w:val="167A186D"/>
    <w:rsid w:val="167E9ACC"/>
    <w:rsid w:val="16A8F17E"/>
    <w:rsid w:val="17170571"/>
    <w:rsid w:val="17452464"/>
    <w:rsid w:val="175EE97B"/>
    <w:rsid w:val="179FB18A"/>
    <w:rsid w:val="1805C7CF"/>
    <w:rsid w:val="18233C73"/>
    <w:rsid w:val="1831000E"/>
    <w:rsid w:val="18CA9C35"/>
    <w:rsid w:val="193EA919"/>
    <w:rsid w:val="1997E8FE"/>
    <w:rsid w:val="199FA01C"/>
    <w:rsid w:val="19BF0CD4"/>
    <w:rsid w:val="1A3CC033"/>
    <w:rsid w:val="1A4EA8BB"/>
    <w:rsid w:val="1A523CA2"/>
    <w:rsid w:val="1ABB6B80"/>
    <w:rsid w:val="1B0F49F7"/>
    <w:rsid w:val="1B3BD4FA"/>
    <w:rsid w:val="1B520BEF"/>
    <w:rsid w:val="1B7BB6FC"/>
    <w:rsid w:val="1B9AC508"/>
    <w:rsid w:val="1BA92821"/>
    <w:rsid w:val="1C8CF5F9"/>
    <w:rsid w:val="1CB89DC3"/>
    <w:rsid w:val="1CEBDD38"/>
    <w:rsid w:val="1CEC131D"/>
    <w:rsid w:val="1D3A7595"/>
    <w:rsid w:val="1D535F31"/>
    <w:rsid w:val="1D5D9B87"/>
    <w:rsid w:val="1D6702EF"/>
    <w:rsid w:val="1DFBF6D0"/>
    <w:rsid w:val="1E049B47"/>
    <w:rsid w:val="1E7E148F"/>
    <w:rsid w:val="1E88DF3E"/>
    <w:rsid w:val="1E964DB3"/>
    <w:rsid w:val="1EA02BDC"/>
    <w:rsid w:val="1EABFCB6"/>
    <w:rsid w:val="1EB30619"/>
    <w:rsid w:val="1EEF2578"/>
    <w:rsid w:val="1F397B09"/>
    <w:rsid w:val="1F51479D"/>
    <w:rsid w:val="1F796739"/>
    <w:rsid w:val="1F7C6CAB"/>
    <w:rsid w:val="2004682A"/>
    <w:rsid w:val="2023B3DF"/>
    <w:rsid w:val="20694511"/>
    <w:rsid w:val="20A35697"/>
    <w:rsid w:val="20ECA364"/>
    <w:rsid w:val="21103358"/>
    <w:rsid w:val="21540FD0"/>
    <w:rsid w:val="2176DE9E"/>
    <w:rsid w:val="21BF8440"/>
    <w:rsid w:val="21E76836"/>
    <w:rsid w:val="22133E57"/>
    <w:rsid w:val="224B1262"/>
    <w:rsid w:val="22711BCB"/>
    <w:rsid w:val="22C81426"/>
    <w:rsid w:val="23259DFF"/>
    <w:rsid w:val="23A9D021"/>
    <w:rsid w:val="24BE25F0"/>
    <w:rsid w:val="24E058D4"/>
    <w:rsid w:val="24F72502"/>
    <w:rsid w:val="2509D6FA"/>
    <w:rsid w:val="251AA6C2"/>
    <w:rsid w:val="256000C3"/>
    <w:rsid w:val="25859D9F"/>
    <w:rsid w:val="26766C06"/>
    <w:rsid w:val="26DEB6A0"/>
    <w:rsid w:val="26F0B6F5"/>
    <w:rsid w:val="27216E00"/>
    <w:rsid w:val="272E1E18"/>
    <w:rsid w:val="27448CEE"/>
    <w:rsid w:val="2786EF55"/>
    <w:rsid w:val="27DD115A"/>
    <w:rsid w:val="27E17683"/>
    <w:rsid w:val="283DC1E8"/>
    <w:rsid w:val="28798E75"/>
    <w:rsid w:val="28C32B97"/>
    <w:rsid w:val="2911C87D"/>
    <w:rsid w:val="295F3D00"/>
    <w:rsid w:val="2978E1BB"/>
    <w:rsid w:val="298C3463"/>
    <w:rsid w:val="29AA9FBB"/>
    <w:rsid w:val="29EF22D2"/>
    <w:rsid w:val="29F34FCD"/>
    <w:rsid w:val="2A3D83A1"/>
    <w:rsid w:val="2AC8F391"/>
    <w:rsid w:val="2C2E26F1"/>
    <w:rsid w:val="2C2F328B"/>
    <w:rsid w:val="2C668EC7"/>
    <w:rsid w:val="2C76F307"/>
    <w:rsid w:val="2D3E8479"/>
    <w:rsid w:val="2D94B1C8"/>
    <w:rsid w:val="2DAE6FD0"/>
    <w:rsid w:val="2DB5CF8C"/>
    <w:rsid w:val="2DEE1C47"/>
    <w:rsid w:val="2E44ACBC"/>
    <w:rsid w:val="2E5F47E4"/>
    <w:rsid w:val="2EAEA034"/>
    <w:rsid w:val="2ECE10D4"/>
    <w:rsid w:val="2F080438"/>
    <w:rsid w:val="2F7E268D"/>
    <w:rsid w:val="2FA03470"/>
    <w:rsid w:val="2FFB4C4D"/>
    <w:rsid w:val="300CD3D3"/>
    <w:rsid w:val="3051F471"/>
    <w:rsid w:val="30AB6013"/>
    <w:rsid w:val="30D960B5"/>
    <w:rsid w:val="311ADBFB"/>
    <w:rsid w:val="317C4D7E"/>
    <w:rsid w:val="31EE5C59"/>
    <w:rsid w:val="32514FB1"/>
    <w:rsid w:val="329E740F"/>
    <w:rsid w:val="32E17362"/>
    <w:rsid w:val="335689B4"/>
    <w:rsid w:val="335CDC94"/>
    <w:rsid w:val="339A8717"/>
    <w:rsid w:val="33D86C10"/>
    <w:rsid w:val="33EC4CED"/>
    <w:rsid w:val="3451897B"/>
    <w:rsid w:val="35163212"/>
    <w:rsid w:val="35721A20"/>
    <w:rsid w:val="357810E8"/>
    <w:rsid w:val="357B7796"/>
    <w:rsid w:val="357ED136"/>
    <w:rsid w:val="364F255C"/>
    <w:rsid w:val="36BEB707"/>
    <w:rsid w:val="37055943"/>
    <w:rsid w:val="370DEA81"/>
    <w:rsid w:val="37884049"/>
    <w:rsid w:val="37BE1EF5"/>
    <w:rsid w:val="37EAEF94"/>
    <w:rsid w:val="387EEC06"/>
    <w:rsid w:val="38CFFC85"/>
    <w:rsid w:val="39D11BAF"/>
    <w:rsid w:val="39EA0CE2"/>
    <w:rsid w:val="3A524259"/>
    <w:rsid w:val="3A5FBA57"/>
    <w:rsid w:val="3B2700E8"/>
    <w:rsid w:val="3B4EF1F1"/>
    <w:rsid w:val="3B6B4F79"/>
    <w:rsid w:val="3C2E5F39"/>
    <w:rsid w:val="3C360D94"/>
    <w:rsid w:val="3C941B8F"/>
    <w:rsid w:val="3CEEEBCF"/>
    <w:rsid w:val="3DD1DDF5"/>
    <w:rsid w:val="3DD3C791"/>
    <w:rsid w:val="3DFDE622"/>
    <w:rsid w:val="3E6C6C03"/>
    <w:rsid w:val="3EA197EF"/>
    <w:rsid w:val="3ECE842F"/>
    <w:rsid w:val="3EF79754"/>
    <w:rsid w:val="3F20F15E"/>
    <w:rsid w:val="3F6A4EF4"/>
    <w:rsid w:val="3F93522E"/>
    <w:rsid w:val="3F99B683"/>
    <w:rsid w:val="407DF73D"/>
    <w:rsid w:val="4161A28C"/>
    <w:rsid w:val="419C774C"/>
    <w:rsid w:val="41A77BE7"/>
    <w:rsid w:val="41BCE38B"/>
    <w:rsid w:val="4201CF9F"/>
    <w:rsid w:val="420C8A6B"/>
    <w:rsid w:val="422A6E7C"/>
    <w:rsid w:val="42C39D19"/>
    <w:rsid w:val="43E9E4B1"/>
    <w:rsid w:val="43FFE2DC"/>
    <w:rsid w:val="44133C04"/>
    <w:rsid w:val="4486C378"/>
    <w:rsid w:val="44E437DE"/>
    <w:rsid w:val="44F8D37D"/>
    <w:rsid w:val="4567A7AE"/>
    <w:rsid w:val="45ABAB5B"/>
    <w:rsid w:val="45AC52C2"/>
    <w:rsid w:val="46800784"/>
    <w:rsid w:val="4706622D"/>
    <w:rsid w:val="482E708A"/>
    <w:rsid w:val="4881C69E"/>
    <w:rsid w:val="4913360C"/>
    <w:rsid w:val="493D5F8F"/>
    <w:rsid w:val="496C7C19"/>
    <w:rsid w:val="499A9188"/>
    <w:rsid w:val="49E0C53F"/>
    <w:rsid w:val="4B8AFD60"/>
    <w:rsid w:val="4C177DF4"/>
    <w:rsid w:val="4C29E823"/>
    <w:rsid w:val="4C3CC289"/>
    <w:rsid w:val="4D0A2724"/>
    <w:rsid w:val="4E08F839"/>
    <w:rsid w:val="4E278CB8"/>
    <w:rsid w:val="4E45CA86"/>
    <w:rsid w:val="4E784891"/>
    <w:rsid w:val="4EA5F785"/>
    <w:rsid w:val="4EA8CD80"/>
    <w:rsid w:val="4EEA2941"/>
    <w:rsid w:val="4F5242CB"/>
    <w:rsid w:val="4FADD2B8"/>
    <w:rsid w:val="4FF9E653"/>
    <w:rsid w:val="5015B2B9"/>
    <w:rsid w:val="5041C7E6"/>
    <w:rsid w:val="5059557A"/>
    <w:rsid w:val="50B04CE3"/>
    <w:rsid w:val="50D9FF1A"/>
    <w:rsid w:val="50F1D553"/>
    <w:rsid w:val="51199979"/>
    <w:rsid w:val="5123470D"/>
    <w:rsid w:val="512C1DFC"/>
    <w:rsid w:val="5137C080"/>
    <w:rsid w:val="5195B6B4"/>
    <w:rsid w:val="51BBFC5B"/>
    <w:rsid w:val="51DD9847"/>
    <w:rsid w:val="51FA3EE4"/>
    <w:rsid w:val="521B58DF"/>
    <w:rsid w:val="521DF654"/>
    <w:rsid w:val="52742E2B"/>
    <w:rsid w:val="52B6E19B"/>
    <w:rsid w:val="5392634A"/>
    <w:rsid w:val="53960F45"/>
    <w:rsid w:val="53A7A900"/>
    <w:rsid w:val="53B9C6B5"/>
    <w:rsid w:val="53E586D8"/>
    <w:rsid w:val="544F75B2"/>
    <w:rsid w:val="54CCD2CC"/>
    <w:rsid w:val="5552F52B"/>
    <w:rsid w:val="559D0302"/>
    <w:rsid w:val="55F3BD16"/>
    <w:rsid w:val="56270957"/>
    <w:rsid w:val="5697E10D"/>
    <w:rsid w:val="56B0C2CF"/>
    <w:rsid w:val="56CA040C"/>
    <w:rsid w:val="56CDB007"/>
    <w:rsid w:val="57A1626B"/>
    <w:rsid w:val="57ECACCC"/>
    <w:rsid w:val="580A6CE3"/>
    <w:rsid w:val="583EAC28"/>
    <w:rsid w:val="58648C9D"/>
    <w:rsid w:val="58697E9B"/>
    <w:rsid w:val="588A95ED"/>
    <w:rsid w:val="58D17EB5"/>
    <w:rsid w:val="59424ABB"/>
    <w:rsid w:val="5AA45FFF"/>
    <w:rsid w:val="5B23DEFF"/>
    <w:rsid w:val="5BB9AF47"/>
    <w:rsid w:val="5BC6C335"/>
    <w:rsid w:val="5C4D2AB4"/>
    <w:rsid w:val="5D0D5A58"/>
    <w:rsid w:val="5DAD1BAF"/>
    <w:rsid w:val="5DCDCFD5"/>
    <w:rsid w:val="5DD07E80"/>
    <w:rsid w:val="5E2E136D"/>
    <w:rsid w:val="5EA01505"/>
    <w:rsid w:val="5EA01A00"/>
    <w:rsid w:val="5EBC175E"/>
    <w:rsid w:val="5F3590FA"/>
    <w:rsid w:val="5F425440"/>
    <w:rsid w:val="5F43E929"/>
    <w:rsid w:val="5F75D6F8"/>
    <w:rsid w:val="5F7F9A35"/>
    <w:rsid w:val="5FC34BDA"/>
    <w:rsid w:val="608C4D67"/>
    <w:rsid w:val="60BFDBFB"/>
    <w:rsid w:val="61057097"/>
    <w:rsid w:val="6145973A"/>
    <w:rsid w:val="614E5686"/>
    <w:rsid w:val="61FE542F"/>
    <w:rsid w:val="620D6331"/>
    <w:rsid w:val="62701E8F"/>
    <w:rsid w:val="62899A99"/>
    <w:rsid w:val="63253F9C"/>
    <w:rsid w:val="63A93392"/>
    <w:rsid w:val="63C578B2"/>
    <w:rsid w:val="63CB786D"/>
    <w:rsid w:val="63E6E40A"/>
    <w:rsid w:val="63FC74BC"/>
    <w:rsid w:val="646CFD03"/>
    <w:rsid w:val="6497DDE0"/>
    <w:rsid w:val="64D31D5A"/>
    <w:rsid w:val="657E2C3A"/>
    <w:rsid w:val="6584587E"/>
    <w:rsid w:val="6587D9CE"/>
    <w:rsid w:val="65ED0719"/>
    <w:rsid w:val="661ED92B"/>
    <w:rsid w:val="6639F600"/>
    <w:rsid w:val="666EB1A9"/>
    <w:rsid w:val="6680B6EE"/>
    <w:rsid w:val="66E0D454"/>
    <w:rsid w:val="671B4111"/>
    <w:rsid w:val="675D0BBC"/>
    <w:rsid w:val="67A07448"/>
    <w:rsid w:val="67E42D7B"/>
    <w:rsid w:val="688C1DE0"/>
    <w:rsid w:val="68B40873"/>
    <w:rsid w:val="69406E26"/>
    <w:rsid w:val="6990D638"/>
    <w:rsid w:val="69A68E7D"/>
    <w:rsid w:val="69CB892D"/>
    <w:rsid w:val="69D4A943"/>
    <w:rsid w:val="6A167D02"/>
    <w:rsid w:val="6B02C804"/>
    <w:rsid w:val="6B425EDE"/>
    <w:rsid w:val="6B82D111"/>
    <w:rsid w:val="6C46DAD5"/>
    <w:rsid w:val="6CC49853"/>
    <w:rsid w:val="6CF9DDD7"/>
    <w:rsid w:val="6D0F1102"/>
    <w:rsid w:val="6D6D8A7C"/>
    <w:rsid w:val="6DA0A50D"/>
    <w:rsid w:val="6E1D8570"/>
    <w:rsid w:val="6E2A03F0"/>
    <w:rsid w:val="6E3A68C6"/>
    <w:rsid w:val="6EA69208"/>
    <w:rsid w:val="6EE29E3B"/>
    <w:rsid w:val="6F034CEA"/>
    <w:rsid w:val="6F3C756E"/>
    <w:rsid w:val="6F3DE393"/>
    <w:rsid w:val="705E6D50"/>
    <w:rsid w:val="70B59C9F"/>
    <w:rsid w:val="70E3308B"/>
    <w:rsid w:val="71134D59"/>
    <w:rsid w:val="712A7247"/>
    <w:rsid w:val="7146F890"/>
    <w:rsid w:val="71632773"/>
    <w:rsid w:val="7191202D"/>
    <w:rsid w:val="71A1FDFB"/>
    <w:rsid w:val="71B131D3"/>
    <w:rsid w:val="71F7B801"/>
    <w:rsid w:val="721549D4"/>
    <w:rsid w:val="72A2D51B"/>
    <w:rsid w:val="73223693"/>
    <w:rsid w:val="7353887C"/>
    <w:rsid w:val="73D6BE0D"/>
    <w:rsid w:val="747D208D"/>
    <w:rsid w:val="74959E4B"/>
    <w:rsid w:val="749DC3A1"/>
    <w:rsid w:val="752C425A"/>
    <w:rsid w:val="7578F2C3"/>
    <w:rsid w:val="759AE3CF"/>
    <w:rsid w:val="774D9A48"/>
    <w:rsid w:val="77DB3E33"/>
    <w:rsid w:val="780CD21B"/>
    <w:rsid w:val="781D0ECD"/>
    <w:rsid w:val="786252E6"/>
    <w:rsid w:val="78D669E1"/>
    <w:rsid w:val="78DF070D"/>
    <w:rsid w:val="78F161AA"/>
    <w:rsid w:val="78FB1899"/>
    <w:rsid w:val="795E5413"/>
    <w:rsid w:val="797A5268"/>
    <w:rsid w:val="79A2ACF9"/>
    <w:rsid w:val="79E6D92F"/>
    <w:rsid w:val="79EFD822"/>
    <w:rsid w:val="7B3D2F3C"/>
    <w:rsid w:val="7B9B8E36"/>
    <w:rsid w:val="7BB30B3C"/>
    <w:rsid w:val="7C05DDCE"/>
    <w:rsid w:val="7C0B35B2"/>
    <w:rsid w:val="7C456868"/>
    <w:rsid w:val="7D375E97"/>
    <w:rsid w:val="7D3FA4AB"/>
    <w:rsid w:val="7DA36D3D"/>
    <w:rsid w:val="7E13374F"/>
    <w:rsid w:val="7E6338F2"/>
    <w:rsid w:val="7E6BBA19"/>
    <w:rsid w:val="7E9C7322"/>
    <w:rsid w:val="7F89D18E"/>
    <w:rsid w:val="7FD4C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E04F86C-DC1A-4C1A-AE79-F2EAD69FC30A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2006/metadata/properties"/>
    <ds:schemaRef ds:uri="b6cf2262-1f1d-4d40-b8e9-95476283415b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f0330e0-ca1d-44dc-b595-c9626fe08e92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322</cp:revision>
  <dcterms:created xsi:type="dcterms:W3CDTF">2022-03-03T18:55:00Z</dcterms:created>
  <dcterms:modified xsi:type="dcterms:W3CDTF">2024-03-27T11:00:14Z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