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72F696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FD820DE" w:rsidR="00862AC6" w:rsidRPr="00B56B2A" w:rsidRDefault="4F49FB1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9128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LV0507200</w:t>
            </w:r>
          </w:p>
        </w:tc>
      </w:tr>
      <w:tr w:rsidR="00862AC6" w14:paraId="36E12895" w14:textId="77777777" w:rsidTr="472F696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E11EDD6" w:rsidR="00862AC6" w:rsidRPr="00B56B2A" w:rsidRDefault="79AE68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9128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Ventas un </w:t>
            </w:r>
            <w:proofErr w:type="spellStart"/>
            <w:r w:rsidRPr="49128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Šķerveļa</w:t>
            </w:r>
            <w:proofErr w:type="spellEnd"/>
            <w:r w:rsidRPr="49128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ieleja</w:t>
            </w:r>
          </w:p>
        </w:tc>
      </w:tr>
      <w:tr w:rsidR="00862AC6" w14:paraId="6CAF263F" w14:textId="77777777" w:rsidTr="472F6968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74EC3D0" w14:textId="0FC840DC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4085CDB0" w14:textId="7671744A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6A3AF60D" w14:textId="43CB77D0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C36E8BB" w14:textId="0215D274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027232BA" w14:textId="40D4DAC6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proofErr w:type="spellStart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1A953B2E" w14:textId="7C0DB333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5260951C" w14:textId="64CED4B5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7C5D0447" w14:textId="7DF4D8D0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8210 </w:t>
            </w:r>
            <w:proofErr w:type="spellStart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Karbonātisku</w:t>
            </w:r>
            <w:proofErr w:type="spellEnd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pamatiežu</w:t>
            </w:r>
            <w:proofErr w:type="spellEnd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atsegumi</w:t>
            </w:r>
          </w:p>
          <w:p w14:paraId="174C6D23" w14:textId="43D0458F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507BC615" w14:textId="3C7C9033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8310 Netraucētas alas</w:t>
            </w:r>
          </w:p>
          <w:p w14:paraId="5EE78575" w14:textId="035B55C3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61817D4A" w14:textId="6512AFF9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76E76A27" w14:textId="3F6F5CC8" w:rsidR="00E24EE7" w:rsidRPr="00B56B2A" w:rsidRDefault="144A7967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72F69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A46FF11" w14:textId="47F19609" w:rsidR="71D37653" w:rsidRDefault="71D37653" w:rsidP="472F6968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9070 Meža ganības </w:t>
            </w:r>
          </w:p>
          <w:p w14:paraId="12A69BC5" w14:textId="1E5DEF1D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 (ozolu, liepu un skābaržu meži)</w:t>
            </w:r>
          </w:p>
          <w:p w14:paraId="349C09B3" w14:textId="57958A30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4F8E65C5" w14:textId="3582287A" w:rsidR="00E24EE7" w:rsidRPr="00B56B2A" w:rsidRDefault="0956092C" w:rsidP="49128FD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49128F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1D3E0F33" w:rsidR="00E24EE7" w:rsidRPr="00B56B2A" w:rsidRDefault="0956092C" w:rsidP="32CCBA9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2CCBA9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472F6968">
        <w:tc>
          <w:tcPr>
            <w:tcW w:w="2774" w:type="dxa"/>
          </w:tcPr>
          <w:p w14:paraId="430A99DA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8D1B35" w14:textId="7C3C1D6F" w:rsidR="00B07F83" w:rsidRPr="00B56B2A" w:rsidRDefault="666F47EB" w:rsidP="00076E1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FBF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70EADB65" w14:textId="5934179A" w:rsidR="00B07F83" w:rsidRPr="00B56B2A" w:rsidRDefault="666F47EB" w:rsidP="00076E1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FBF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 un krūmāji)</w:t>
            </w:r>
          </w:p>
          <w:p w14:paraId="5498A7A6" w14:textId="71D39E50" w:rsidR="00B07F83" w:rsidRPr="00B56B2A" w:rsidRDefault="666F47EB" w:rsidP="00076E1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FBF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7C23177B" w14:textId="2EEAEF07" w:rsidR="00B07F83" w:rsidRPr="00B56B2A" w:rsidRDefault="666F47EB" w:rsidP="00076E1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FBF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(atsegumi un alas)</w:t>
            </w:r>
          </w:p>
          <w:p w14:paraId="6CDF1663" w14:textId="6FF7AD00" w:rsidR="00B07F83" w:rsidRPr="00B56B2A" w:rsidRDefault="666F47EB" w:rsidP="00076E1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FBF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72F6968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117979BA" w:rsidR="00D57CBE" w:rsidRPr="00B56B2A" w:rsidRDefault="31A684C0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3FBFD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F2E6E" w:rsidRPr="63FBFD6D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53A4C897" w:rsidRPr="63FBF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57CBE" w:rsidRPr="63FBFD6D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9128FD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9128FD4">
        <w:trPr>
          <w:trHeight w:val="300"/>
        </w:trPr>
        <w:tc>
          <w:tcPr>
            <w:tcW w:w="9629" w:type="dxa"/>
          </w:tcPr>
          <w:p w14:paraId="6894F362" w14:textId="253ED022" w:rsidR="005D6E1C" w:rsidRDefault="496796D2" w:rsidP="00076E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9128F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BC04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19968FBE" w14:textId="07936057" w:rsidR="3EF79754" w:rsidRPr="00B56B2A" w:rsidRDefault="005D6E1C" w:rsidP="00076E1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lieguma dienvidaustrumu</w:t>
            </w:r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daļā pie Meldriem uz </w:t>
            </w:r>
            <w:proofErr w:type="spellStart"/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Šķerveļa</w:t>
            </w:r>
            <w:proofErr w:type="spellEnd"/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upes ir dzirnavu aizsprosta paliekas, kuras likvidējot</w:t>
            </w:r>
            <w:r w:rsidR="00F56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iespējams atjaunot upes dabisko tecējumu. Šajā posmā upe ir potenciāls ES nozīmes biotop</w:t>
            </w:r>
            <w:r w:rsidR="00F56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3260 (</w:t>
            </w:r>
            <w:r w:rsidR="496796D2" w:rsidRPr="00F56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="00F56E5F" w:rsidRPr="00F56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96796D2" w:rsidRPr="00F56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</w:t>
            </w:r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jo upes kritums tajā ir 12</w:t>
            </w:r>
            <w:r w:rsidR="00F56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E2B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="00F56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715B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ietverts </w:t>
            </w:r>
            <w:proofErr w:type="spellStart"/>
            <w:r w:rsidR="00715B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496796D2" w:rsidRPr="49128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496796D2" w:rsidRPr="49128F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6DED19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6DED19D">
        <w:trPr>
          <w:trHeight w:val="300"/>
        </w:trPr>
        <w:tc>
          <w:tcPr>
            <w:tcW w:w="9629" w:type="dxa"/>
          </w:tcPr>
          <w:p w14:paraId="2D525A36" w14:textId="28A8E24D" w:rsidR="00EA72F6" w:rsidRPr="00EA72F6" w:rsidRDefault="1CC0D3EE" w:rsidP="00CA3A04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603D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CA3A0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9603D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BC04F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9603D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47C368AC" w14:textId="2C626FBE" w:rsidR="00AB7413" w:rsidRDefault="00A43D4B" w:rsidP="00CA3A04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36DED19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Mērķplatība ietver zālājus, kas pēc LAD datiem ir </w:t>
            </w:r>
            <w:r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ilggadīgi zālāji (</w:t>
            </w:r>
            <w:r w:rsidR="00076E1F"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kods </w:t>
            </w:r>
            <w:r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710) un kuru bioloģiskā vērtība, atbilstoši apsaimniekojot, ar laiku palielināsies</w:t>
            </w:r>
            <w:r w:rsidR="00AB7413"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. Mērķplatība ietver arī vēsturiskos </w:t>
            </w:r>
            <w:r w:rsidR="00D97C7E"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sausos kaļķainos </w:t>
            </w:r>
            <w:r w:rsidR="00AB7413"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zālājus un platības, kas dabas aizsardzības plānā (</w:t>
            </w:r>
            <w:r w:rsidR="00D97C7E"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DU, 2020</w:t>
            </w:r>
            <w:r w:rsidR="1C3B78D8" w:rsidRP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</w:t>
            </w:r>
            <w:r w:rsidR="00AB7413" w:rsidRPr="36DED19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) identificētas kā potenciāli sausi kaļķaini zālāji.</w:t>
            </w:r>
          </w:p>
          <w:p w14:paraId="222084FD" w14:textId="6ECA4149" w:rsidR="00872DEB" w:rsidRPr="009603DD" w:rsidRDefault="1CC0D3EE" w:rsidP="00CA3A04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603D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CA3A0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9603D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6E1F8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9603D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5E2A96D9" w14:textId="4D5ECE4D" w:rsidR="00BC6CA4" w:rsidRPr="009603DD" w:rsidRDefault="006E1F8A" w:rsidP="00CA3A04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36DED19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lastRenderedPageBreak/>
              <w:t>Mērķplatība ietver zālājus, kas pēc LAD datiem ir ilggadīgi zālāji (</w:t>
            </w:r>
            <w:r w:rsidR="00076E1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kods </w:t>
            </w:r>
            <w:r w:rsidRPr="36DED19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710) un kuru bioloģiskā vērtība, atbilstoši apsaimniekojot, ar laiku </w:t>
            </w:r>
            <w:r w:rsidRPr="006E1F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palielināsies. </w:t>
            </w:r>
            <w:r w:rsidR="008C3CA0" w:rsidRPr="006E1F8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lv-LV"/>
              </w:rPr>
              <w:t xml:space="preserve">Tie galvenokārt ir kultivēti zālāji un atmatas ar </w:t>
            </w:r>
            <w:r w:rsidRPr="006E1F8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lv-LV"/>
              </w:rPr>
              <w:t>augstām atjaunošanās izredzēm un kuri</w:t>
            </w:r>
            <w:r w:rsidR="008C3CA0" w:rsidRPr="006E1F8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lv-LV"/>
              </w:rPr>
              <w:t xml:space="preserve"> pārsvarā</w:t>
            </w:r>
            <w:r w:rsidR="008C3CA0" w:rsidRPr="36DED19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tiek </w:t>
            </w:r>
            <w:r w:rsidR="008C3CA0" w:rsidRPr="36DED19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a-Latn"/>
              </w:rPr>
              <w:t>ekstensīvi apsaimniekot</w:t>
            </w:r>
            <w:r w:rsidRPr="00076E1F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>i</w:t>
            </w:r>
            <w:r w:rsidR="008C3CA0" w:rsidRPr="36DED19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a-Latn"/>
              </w:rPr>
              <w:t>.</w:t>
            </w:r>
          </w:p>
          <w:p w14:paraId="2D762F87" w14:textId="7FE3E1E1" w:rsidR="00872DEB" w:rsidRPr="0056466B" w:rsidRDefault="1CC0D3EE" w:rsidP="00CA3A0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03D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CA3A0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Pr="00564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6E1F8A" w:rsidRPr="00564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00564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654542FC" w14:textId="136D65DD" w:rsidR="00634862" w:rsidRPr="00244FD5" w:rsidRDefault="0056466B" w:rsidP="00CA3A04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6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Mērķplatība ietver zālājus, kas </w:t>
            </w:r>
            <w:r w:rsidRPr="0056466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atrodas tuvu pašreizējam neapsaimniekotam 6410 zālāju biotopam pēc apstākļiem līdzīgā vietā. Palielinot 6410 platību, tiktu nodrošināta telpiskā </w:t>
            </w:r>
            <w:proofErr w:type="spellStart"/>
            <w:r w:rsidRPr="0056466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savienotība</w:t>
            </w:r>
            <w:proofErr w:type="spellEnd"/>
            <w:r w:rsidRPr="0056466B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un tiktu veidots vienots </w:t>
            </w:r>
            <w:r w:rsidRPr="00244FD5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zālāju komplekss.</w:t>
            </w:r>
          </w:p>
          <w:p w14:paraId="0E873699" w14:textId="2AED9A9D" w:rsidR="00872DEB" w:rsidRPr="00244FD5" w:rsidRDefault="1CC0D3EE" w:rsidP="00CA3A04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244FD5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244FD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6E1F8A" w:rsidRPr="00244FD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ir </w:t>
            </w:r>
            <w:r w:rsidRPr="00244FD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lielāka par pašreizējo.</w:t>
            </w:r>
          </w:p>
          <w:p w14:paraId="6434F3A2" w14:textId="279311AB" w:rsidR="00634862" w:rsidRPr="00244FD5" w:rsidRDefault="00136298" w:rsidP="00CA3A04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  <w:lang w:val="lv-LV"/>
              </w:rPr>
            </w:pPr>
            <w:proofErr w:type="spellStart"/>
            <w:r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Mērķplatības</w:t>
            </w:r>
            <w:proofErr w:type="spellEnd"/>
            <w:r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noteiktas</w:t>
            </w:r>
            <w:r w:rsidR="0056466B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izmantojot </w:t>
            </w:r>
            <w:r w:rsidR="00B340C1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jaunāko pieejamo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ortofotokarti</w:t>
            </w:r>
            <w:proofErr w:type="spellEnd"/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="0056466B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LĢIA, 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2019</w:t>
            </w:r>
            <w:r w:rsidR="00B340C1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–2021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), ietverot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a-Latn"/>
              </w:rPr>
              <w:t xml:space="preserve"> arī vēsturisk</w:t>
            </w:r>
            <w:r w:rsidR="00244FD5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a-Latn"/>
              </w:rPr>
              <w:t>o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a-Latn"/>
              </w:rPr>
              <w:t>s zālājus, kur</w:t>
            </w:r>
            <w:r w:rsidR="00244FD5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a-Latn"/>
              </w:rPr>
              <w:t xml:space="preserve">i 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a-Latn"/>
              </w:rPr>
              <w:t xml:space="preserve">pēc </w:t>
            </w:r>
            <w:r w:rsidR="00CA3A04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>MRV</w:t>
            </w:r>
            <w:r w:rsidR="00F76D62" w:rsidRPr="00244FD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 xml:space="preserve"> datiem pašlaik atbilst meža zemei.</w:t>
            </w:r>
            <w:r w:rsidR="00F76D62" w:rsidRPr="00244FD5">
              <w:rPr>
                <w:rStyle w:val="eop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> </w:t>
            </w:r>
          </w:p>
          <w:p w14:paraId="0F65E00F" w14:textId="28326B12" w:rsidR="00872DEB" w:rsidRPr="00244FD5" w:rsidRDefault="1CC0D3EE" w:rsidP="00CA3A04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244FD5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244FD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6E1F8A" w:rsidRPr="00244FD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244FD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2CC21EAE" w14:textId="57A90D40" w:rsidR="00634862" w:rsidRPr="00DF2CBC" w:rsidRDefault="00B340C1" w:rsidP="00CA3A04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36DED19D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Mērķplatība ietver zālājus, kas pēc </w:t>
            </w:r>
            <w:r w:rsidRPr="36DED1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LAD datiem ir ilggadīgi zālāji (</w:t>
            </w:r>
            <w:r w:rsidR="003B6A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kods </w:t>
            </w:r>
            <w:r w:rsidRPr="36DED1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710) un kuri, izvērtējot zemes vērtību ballēs, ir zālāji samērā auglīgās augsnēs – paredzams, ka to bioloģiskā vērtība, atbilstoši apsaimniekojot, ar laiku </w:t>
            </w:r>
            <w:r w:rsidRPr="36DED1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palielināsies un tie potenciāli var attīstīties par 6510 biotopu.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AB8150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AB8150E">
        <w:trPr>
          <w:trHeight w:val="300"/>
        </w:trPr>
        <w:tc>
          <w:tcPr>
            <w:tcW w:w="9629" w:type="dxa"/>
          </w:tcPr>
          <w:p w14:paraId="01D38112" w14:textId="1FF7BC00" w:rsidR="00872DEB" w:rsidRPr="00B56B2A" w:rsidRDefault="45C1BA84" w:rsidP="63FBFD6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B815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2AB8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103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2AB815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4E13B025" w14:textId="150CD7F4" w:rsidR="008F2AC6" w:rsidRPr="00B56B2A" w:rsidRDefault="008F2AC6" w:rsidP="00410E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3C6129A1" w14:textId="310B26D8" w:rsidR="00A9313B" w:rsidRDefault="006A0BF1" w:rsidP="00410E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Piecos</w:t>
            </w:r>
            <w:r w:rsidR="004176D3" w:rsidRPr="00417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 w:rsidR="00410E02">
              <w:rPr>
                <w:rFonts w:ascii="Times New Roman" w:eastAsia="Times New Roman" w:hAnsi="Times New Roman" w:cs="Times New Roman"/>
                <w:sz w:val="24"/>
                <w:szCs w:val="24"/>
              </w:rPr>
              <w:t>piecos</w:t>
            </w:r>
            <w:r w:rsidR="004176D3" w:rsidRPr="004176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  <w:p w14:paraId="5417E695" w14:textId="35B9A0C3" w:rsidR="008F2AC6" w:rsidRPr="00B56B2A" w:rsidRDefault="008F2AC6" w:rsidP="00410E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517E97F8" w14:textId="39DDDC7B" w:rsidR="00D328B9" w:rsidRDefault="00A01818" w:rsidP="00410E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Divdesmit divos</w:t>
            </w:r>
            <w:r w:rsidR="00D328B9" w:rsidRPr="00D32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328B9" w:rsidRPr="00D328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  <w:p w14:paraId="4F03A798" w14:textId="51A99281" w:rsidR="00BB48B0" w:rsidRDefault="008F2AC6" w:rsidP="00410E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  <w:r w:rsidR="00F240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2A1C8B3" w14:textId="16FF9ED9" w:rsidR="001613F9" w:rsidRPr="00BB48B0" w:rsidRDefault="00F24090" w:rsidP="00410E0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40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Alu veidošanos un pastāvēšanu nodrošina pazemes avotu strautu erozija, kā arī zvēru darbība.</w:t>
            </w:r>
            <w:r w:rsidR="00BB4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Paredzamas alu </w:t>
            </w:r>
            <w:r w:rsidRPr="00F240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</w:t>
            </w:r>
            <w:r w:rsidR="00BB48B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F240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izmaiņas erozijas un nobrukumu ietekmē, bet to lielumu un virzienu nav iespējams prognozēt.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7A6E4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7A6E423">
        <w:trPr>
          <w:trHeight w:val="300"/>
        </w:trPr>
        <w:tc>
          <w:tcPr>
            <w:tcW w:w="9629" w:type="dxa"/>
          </w:tcPr>
          <w:p w14:paraId="42A2A708" w14:textId="0F3C56CA" w:rsidR="00224277" w:rsidRPr="00224277" w:rsidRDefault="00224277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BD76142"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BD76142"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0550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D2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citu ES nozīmes meža </w:t>
            </w:r>
            <w:proofErr w:type="spellStart"/>
            <w:r w:rsidR="001D2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</w:t>
            </w:r>
            <w:r w:rsidR="000550C2" w:rsidRPr="000550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mērķa</w:t>
            </w:r>
            <w:proofErr w:type="spellEnd"/>
            <w:r w:rsidR="000550C2" w:rsidRPr="000550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platības noteikšanā </w:t>
            </w:r>
            <w:r w:rsidR="001D2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šajā teritorijā </w:t>
            </w:r>
            <w:r w:rsidR="000550C2" w:rsidRPr="000550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izmantoti vispārīgi apsvērumi (skatīt 3.1.1.6. nod.).</w:t>
            </w:r>
          </w:p>
          <w:p w14:paraId="49BA4156" w14:textId="067487BA" w:rsidR="00224277" w:rsidRDefault="00224277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B477A7A"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705D54D" w14:textId="5153DDB2" w:rsidR="00224277" w:rsidRPr="00224277" w:rsidRDefault="00224277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11A703E"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F2BDD5D" w14:textId="7CCC0BC4" w:rsidR="30816168" w:rsidRDefault="30816168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9070: </w:t>
            </w:r>
            <w:r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06FB42F" w14:textId="19B4E488" w:rsidR="00224277" w:rsidRDefault="00224277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44BEEDF"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4A0EA8E" w14:textId="39D5F19F" w:rsidR="00224277" w:rsidRDefault="00224277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9180*</w:t>
            </w:r>
            <w:r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8F0A002"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DA70F5B" w14:textId="15C3C3D5" w:rsidR="00224277" w:rsidRPr="00224277" w:rsidRDefault="00224277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91D0*</w:t>
            </w:r>
            <w:r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6122691"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59E4AF95" w14:textId="37AF9FA2" w:rsidR="00872DEB" w:rsidRPr="00B56B2A" w:rsidRDefault="00224277" w:rsidP="472F696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2F69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472F69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12EEECF" w:rsidRPr="472F69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2F9513FF" w:rsidR="00872DEB" w:rsidRPr="00B56B2A" w:rsidRDefault="7D6C0EA4" w:rsidP="472F69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64BFEA4B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ērķplatībā</w:t>
            </w:r>
            <w:proofErr w:type="spellEnd"/>
            <w:r w:rsidR="64BFEA4B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D0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pašreizējai 91E0* platībai </w:t>
            </w:r>
            <w:r w:rsidR="64BFEA4B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</w:t>
            </w:r>
            <w:r w:rsidR="004C7427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E1158F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neliela </w:t>
            </w:r>
            <w:r w:rsidR="00ED0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potenciāla 91E0* platība</w:t>
            </w:r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bet tā</w:t>
            </w:r>
            <w:r w:rsidR="00ED0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attīstīb</w:t>
            </w:r>
            <w:r w:rsidR="00E1158F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 precīzākai prognozēšanai nepieciešama apsekošana dabā</w:t>
            </w:r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jo svarīgs ir hidroloģiskais režīms </w:t>
            </w:r>
            <w:r w:rsidR="7CE9676B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ja tas neatbilst liekņai (</w:t>
            </w:r>
            <w:proofErr w:type="spellStart"/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Lk</w:t>
            </w:r>
            <w:proofErr w:type="spellEnd"/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1158F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norādīts MVR datos, </w:t>
            </w:r>
            <w:r w:rsidR="00ED0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drīzāk </w:t>
            </w:r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iespējama attīstība 9020* vai 9160</w:t>
            </w:r>
            <w:r w:rsidR="00E1158F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biotopu virzienā</w:t>
            </w:r>
            <w:r w:rsidR="22B1300C" w:rsidRPr="37A6E4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661F7" w14:textId="77777777" w:rsidR="001F30F9" w:rsidRDefault="001F30F9" w:rsidP="00065CAF">
      <w:pPr>
        <w:spacing w:line="240" w:lineRule="auto"/>
      </w:pPr>
      <w:r>
        <w:separator/>
      </w:r>
    </w:p>
  </w:endnote>
  <w:endnote w:type="continuationSeparator" w:id="0">
    <w:p w14:paraId="79601962" w14:textId="77777777" w:rsidR="001F30F9" w:rsidRDefault="001F30F9" w:rsidP="00065CAF">
      <w:pPr>
        <w:spacing w:line="240" w:lineRule="auto"/>
      </w:pPr>
      <w:r>
        <w:continuationSeparator/>
      </w:r>
    </w:p>
  </w:endnote>
  <w:endnote w:type="continuationNotice" w:id="1">
    <w:p w14:paraId="7622A452" w14:textId="77777777" w:rsidR="001F30F9" w:rsidRDefault="001F30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EB99B" w14:textId="77777777" w:rsidR="001F30F9" w:rsidRDefault="001F30F9" w:rsidP="00065CAF">
      <w:pPr>
        <w:spacing w:line="240" w:lineRule="auto"/>
      </w:pPr>
      <w:r>
        <w:separator/>
      </w:r>
    </w:p>
  </w:footnote>
  <w:footnote w:type="continuationSeparator" w:id="0">
    <w:p w14:paraId="2A71927A" w14:textId="77777777" w:rsidR="001F30F9" w:rsidRDefault="001F30F9" w:rsidP="00065CAF">
      <w:pPr>
        <w:spacing w:line="240" w:lineRule="auto"/>
      </w:pPr>
      <w:r>
        <w:continuationSeparator/>
      </w:r>
    </w:p>
  </w:footnote>
  <w:footnote w:type="continuationNotice" w:id="1">
    <w:p w14:paraId="2BD1B02F" w14:textId="77777777" w:rsidR="001F30F9" w:rsidRDefault="001F30F9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50C2"/>
    <w:rsid w:val="00060BEA"/>
    <w:rsid w:val="00065CAF"/>
    <w:rsid w:val="00076E1F"/>
    <w:rsid w:val="00094A51"/>
    <w:rsid w:val="000B3CFF"/>
    <w:rsid w:val="000D353D"/>
    <w:rsid w:val="000D7C62"/>
    <w:rsid w:val="000E0223"/>
    <w:rsid w:val="000E479B"/>
    <w:rsid w:val="000E4EC0"/>
    <w:rsid w:val="000E5E77"/>
    <w:rsid w:val="000F0D58"/>
    <w:rsid w:val="000F25D6"/>
    <w:rsid w:val="001033C5"/>
    <w:rsid w:val="00136298"/>
    <w:rsid w:val="0014309F"/>
    <w:rsid w:val="0014503A"/>
    <w:rsid w:val="0014778E"/>
    <w:rsid w:val="001613F9"/>
    <w:rsid w:val="00170038"/>
    <w:rsid w:val="001B20B4"/>
    <w:rsid w:val="001C1C8E"/>
    <w:rsid w:val="001D22CB"/>
    <w:rsid w:val="001D73FC"/>
    <w:rsid w:val="001E0137"/>
    <w:rsid w:val="001E48C3"/>
    <w:rsid w:val="001F0B3F"/>
    <w:rsid w:val="001F30F9"/>
    <w:rsid w:val="001F55B9"/>
    <w:rsid w:val="001F5A44"/>
    <w:rsid w:val="00212977"/>
    <w:rsid w:val="00220B85"/>
    <w:rsid w:val="00224277"/>
    <w:rsid w:val="00230D39"/>
    <w:rsid w:val="00231BD9"/>
    <w:rsid w:val="00235574"/>
    <w:rsid w:val="002372EF"/>
    <w:rsid w:val="00243E69"/>
    <w:rsid w:val="00244FD5"/>
    <w:rsid w:val="00254AD3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286D"/>
    <w:rsid w:val="00355E53"/>
    <w:rsid w:val="00362DA7"/>
    <w:rsid w:val="00365548"/>
    <w:rsid w:val="00371A07"/>
    <w:rsid w:val="00384E0C"/>
    <w:rsid w:val="00391C9B"/>
    <w:rsid w:val="003A48B3"/>
    <w:rsid w:val="003B2E82"/>
    <w:rsid w:val="003B6A81"/>
    <w:rsid w:val="003C5404"/>
    <w:rsid w:val="003E2B44"/>
    <w:rsid w:val="00410E02"/>
    <w:rsid w:val="00415CA6"/>
    <w:rsid w:val="004176D3"/>
    <w:rsid w:val="00423C9D"/>
    <w:rsid w:val="0042447E"/>
    <w:rsid w:val="004379B1"/>
    <w:rsid w:val="00442C5B"/>
    <w:rsid w:val="004527B2"/>
    <w:rsid w:val="00456F9C"/>
    <w:rsid w:val="0047313A"/>
    <w:rsid w:val="004740A8"/>
    <w:rsid w:val="00485311"/>
    <w:rsid w:val="00494AD3"/>
    <w:rsid w:val="004C7427"/>
    <w:rsid w:val="004D5A35"/>
    <w:rsid w:val="004E28E2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466B"/>
    <w:rsid w:val="005831EC"/>
    <w:rsid w:val="005930A6"/>
    <w:rsid w:val="005A642F"/>
    <w:rsid w:val="005B3FCC"/>
    <w:rsid w:val="005B4FA8"/>
    <w:rsid w:val="005D151C"/>
    <w:rsid w:val="005D6E1C"/>
    <w:rsid w:val="005D7DDF"/>
    <w:rsid w:val="005F6D2A"/>
    <w:rsid w:val="00620CDB"/>
    <w:rsid w:val="00624FFF"/>
    <w:rsid w:val="00633571"/>
    <w:rsid w:val="00634862"/>
    <w:rsid w:val="0064463F"/>
    <w:rsid w:val="00646709"/>
    <w:rsid w:val="00692775"/>
    <w:rsid w:val="006935E4"/>
    <w:rsid w:val="006A0BF1"/>
    <w:rsid w:val="006A4747"/>
    <w:rsid w:val="006B38BE"/>
    <w:rsid w:val="006B6574"/>
    <w:rsid w:val="006C1ED0"/>
    <w:rsid w:val="006D06B8"/>
    <w:rsid w:val="006E1F8A"/>
    <w:rsid w:val="006E704D"/>
    <w:rsid w:val="006F4D91"/>
    <w:rsid w:val="00715BF2"/>
    <w:rsid w:val="0072336C"/>
    <w:rsid w:val="00727063"/>
    <w:rsid w:val="00730571"/>
    <w:rsid w:val="00732728"/>
    <w:rsid w:val="00740149"/>
    <w:rsid w:val="007533F4"/>
    <w:rsid w:val="0075639E"/>
    <w:rsid w:val="00762D9B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0FEC"/>
    <w:rsid w:val="00891A0F"/>
    <w:rsid w:val="008958DE"/>
    <w:rsid w:val="008A5A9D"/>
    <w:rsid w:val="008A5F5B"/>
    <w:rsid w:val="008A61C5"/>
    <w:rsid w:val="008B3335"/>
    <w:rsid w:val="008C1969"/>
    <w:rsid w:val="008C1DD9"/>
    <w:rsid w:val="008C3CA0"/>
    <w:rsid w:val="008D7272"/>
    <w:rsid w:val="008F0A08"/>
    <w:rsid w:val="008F2AC6"/>
    <w:rsid w:val="008F3F8D"/>
    <w:rsid w:val="008F7D8C"/>
    <w:rsid w:val="00901886"/>
    <w:rsid w:val="009028B9"/>
    <w:rsid w:val="009037FC"/>
    <w:rsid w:val="009070EC"/>
    <w:rsid w:val="0092068E"/>
    <w:rsid w:val="009305D4"/>
    <w:rsid w:val="00934A05"/>
    <w:rsid w:val="009603DD"/>
    <w:rsid w:val="00961CCA"/>
    <w:rsid w:val="009675D2"/>
    <w:rsid w:val="009762A3"/>
    <w:rsid w:val="009844C1"/>
    <w:rsid w:val="00993A5B"/>
    <w:rsid w:val="009A4BCF"/>
    <w:rsid w:val="009A5481"/>
    <w:rsid w:val="009A6BBE"/>
    <w:rsid w:val="009A6DDD"/>
    <w:rsid w:val="009B6463"/>
    <w:rsid w:val="009C3395"/>
    <w:rsid w:val="009C5746"/>
    <w:rsid w:val="009C66AB"/>
    <w:rsid w:val="009E5FB6"/>
    <w:rsid w:val="00A01818"/>
    <w:rsid w:val="00A049F4"/>
    <w:rsid w:val="00A10FED"/>
    <w:rsid w:val="00A13527"/>
    <w:rsid w:val="00A17EBC"/>
    <w:rsid w:val="00A36E2B"/>
    <w:rsid w:val="00A37742"/>
    <w:rsid w:val="00A43D4B"/>
    <w:rsid w:val="00A51703"/>
    <w:rsid w:val="00A5629C"/>
    <w:rsid w:val="00A62D70"/>
    <w:rsid w:val="00A91D4E"/>
    <w:rsid w:val="00A9313B"/>
    <w:rsid w:val="00A96A0B"/>
    <w:rsid w:val="00AA0474"/>
    <w:rsid w:val="00AB7413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340C1"/>
    <w:rsid w:val="00B508F5"/>
    <w:rsid w:val="00B510C3"/>
    <w:rsid w:val="00B529DD"/>
    <w:rsid w:val="00B53D1C"/>
    <w:rsid w:val="00B54116"/>
    <w:rsid w:val="00B54A10"/>
    <w:rsid w:val="00B56B2A"/>
    <w:rsid w:val="00B67D70"/>
    <w:rsid w:val="00B734DD"/>
    <w:rsid w:val="00B7643D"/>
    <w:rsid w:val="00B93C41"/>
    <w:rsid w:val="00BA1142"/>
    <w:rsid w:val="00BA4B02"/>
    <w:rsid w:val="00BA7A4F"/>
    <w:rsid w:val="00BB260D"/>
    <w:rsid w:val="00BB48B0"/>
    <w:rsid w:val="00BC04FA"/>
    <w:rsid w:val="00BC6CA4"/>
    <w:rsid w:val="00BE32BC"/>
    <w:rsid w:val="00C00CB8"/>
    <w:rsid w:val="00C0448D"/>
    <w:rsid w:val="00C106B2"/>
    <w:rsid w:val="00C11DEE"/>
    <w:rsid w:val="00C15509"/>
    <w:rsid w:val="00C30275"/>
    <w:rsid w:val="00C365A4"/>
    <w:rsid w:val="00C50864"/>
    <w:rsid w:val="00C722E6"/>
    <w:rsid w:val="00C761E8"/>
    <w:rsid w:val="00C819F1"/>
    <w:rsid w:val="00CA3A04"/>
    <w:rsid w:val="00CD0797"/>
    <w:rsid w:val="00CE038A"/>
    <w:rsid w:val="00CE737A"/>
    <w:rsid w:val="00CF5D33"/>
    <w:rsid w:val="00D1208D"/>
    <w:rsid w:val="00D20343"/>
    <w:rsid w:val="00D20610"/>
    <w:rsid w:val="00D3127F"/>
    <w:rsid w:val="00D328B9"/>
    <w:rsid w:val="00D42457"/>
    <w:rsid w:val="00D439B1"/>
    <w:rsid w:val="00D43F6F"/>
    <w:rsid w:val="00D4659B"/>
    <w:rsid w:val="00D51CFD"/>
    <w:rsid w:val="00D54B30"/>
    <w:rsid w:val="00D555D0"/>
    <w:rsid w:val="00D57CBE"/>
    <w:rsid w:val="00D61E4E"/>
    <w:rsid w:val="00D6456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97C7E"/>
    <w:rsid w:val="00DB36A5"/>
    <w:rsid w:val="00DB52B9"/>
    <w:rsid w:val="00DC3B30"/>
    <w:rsid w:val="00DD05A0"/>
    <w:rsid w:val="00DE5C9C"/>
    <w:rsid w:val="00DF208E"/>
    <w:rsid w:val="00DF2CBC"/>
    <w:rsid w:val="00DF34B1"/>
    <w:rsid w:val="00E0171B"/>
    <w:rsid w:val="00E1158F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05D3"/>
    <w:rsid w:val="00E95A37"/>
    <w:rsid w:val="00EA39E7"/>
    <w:rsid w:val="00EA4197"/>
    <w:rsid w:val="00EA4457"/>
    <w:rsid w:val="00EA5B41"/>
    <w:rsid w:val="00EA72F6"/>
    <w:rsid w:val="00ED0984"/>
    <w:rsid w:val="00ED3DC8"/>
    <w:rsid w:val="00EF59FE"/>
    <w:rsid w:val="00F01D2E"/>
    <w:rsid w:val="00F156E9"/>
    <w:rsid w:val="00F21F9A"/>
    <w:rsid w:val="00F24090"/>
    <w:rsid w:val="00F31206"/>
    <w:rsid w:val="00F34481"/>
    <w:rsid w:val="00F349F1"/>
    <w:rsid w:val="00F412E6"/>
    <w:rsid w:val="00F46C0E"/>
    <w:rsid w:val="00F5073D"/>
    <w:rsid w:val="00F51425"/>
    <w:rsid w:val="00F56E5F"/>
    <w:rsid w:val="00F5750C"/>
    <w:rsid w:val="00F76D62"/>
    <w:rsid w:val="00FA5A02"/>
    <w:rsid w:val="00FA5F0A"/>
    <w:rsid w:val="00FA718C"/>
    <w:rsid w:val="00FA792E"/>
    <w:rsid w:val="00FC74C3"/>
    <w:rsid w:val="00FD0528"/>
    <w:rsid w:val="00FE0DC6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395AAB"/>
    <w:rsid w:val="03484122"/>
    <w:rsid w:val="0459DDBC"/>
    <w:rsid w:val="0469C957"/>
    <w:rsid w:val="04A94008"/>
    <w:rsid w:val="056599C3"/>
    <w:rsid w:val="05F7C7E6"/>
    <w:rsid w:val="061D4ECA"/>
    <w:rsid w:val="0888690F"/>
    <w:rsid w:val="092D4EDF"/>
    <w:rsid w:val="093CC44A"/>
    <w:rsid w:val="0956092C"/>
    <w:rsid w:val="0AD05FBB"/>
    <w:rsid w:val="0C9441D1"/>
    <w:rsid w:val="0D8058F0"/>
    <w:rsid w:val="0E00C002"/>
    <w:rsid w:val="0E1082D7"/>
    <w:rsid w:val="0EC9CB71"/>
    <w:rsid w:val="0EEA749F"/>
    <w:rsid w:val="0F18CF9C"/>
    <w:rsid w:val="0F673903"/>
    <w:rsid w:val="10AFC604"/>
    <w:rsid w:val="10EA463E"/>
    <w:rsid w:val="11030964"/>
    <w:rsid w:val="1167F4A6"/>
    <w:rsid w:val="11CA8211"/>
    <w:rsid w:val="11CF0539"/>
    <w:rsid w:val="13665272"/>
    <w:rsid w:val="13810FC6"/>
    <w:rsid w:val="144A7967"/>
    <w:rsid w:val="14BEDEA9"/>
    <w:rsid w:val="14EAA51A"/>
    <w:rsid w:val="150A8AEA"/>
    <w:rsid w:val="153682C6"/>
    <w:rsid w:val="1678C0F1"/>
    <w:rsid w:val="167A186D"/>
    <w:rsid w:val="167E9ACC"/>
    <w:rsid w:val="16A8F17E"/>
    <w:rsid w:val="173C0C93"/>
    <w:rsid w:val="18233C73"/>
    <w:rsid w:val="18F0A002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8919D"/>
    <w:rsid w:val="1BD93BEE"/>
    <w:rsid w:val="1C3B78D8"/>
    <w:rsid w:val="1C8CF5F9"/>
    <w:rsid w:val="1CBF78AA"/>
    <w:rsid w:val="1CC0D3EE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B1300C"/>
    <w:rsid w:val="22C81426"/>
    <w:rsid w:val="249466B8"/>
    <w:rsid w:val="24E058D4"/>
    <w:rsid w:val="2509D6FA"/>
    <w:rsid w:val="256000C3"/>
    <w:rsid w:val="25859D9F"/>
    <w:rsid w:val="26122691"/>
    <w:rsid w:val="26766C06"/>
    <w:rsid w:val="26B44136"/>
    <w:rsid w:val="26DEB6A0"/>
    <w:rsid w:val="26F0B6F5"/>
    <w:rsid w:val="27216E00"/>
    <w:rsid w:val="2726D5FF"/>
    <w:rsid w:val="27448CEE"/>
    <w:rsid w:val="2911C87D"/>
    <w:rsid w:val="29EF22D2"/>
    <w:rsid w:val="29F34FCD"/>
    <w:rsid w:val="2A3D83A1"/>
    <w:rsid w:val="2AB8150E"/>
    <w:rsid w:val="2AC8F391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51F471"/>
    <w:rsid w:val="30816168"/>
    <w:rsid w:val="30AB6013"/>
    <w:rsid w:val="30D960B5"/>
    <w:rsid w:val="311ADBFB"/>
    <w:rsid w:val="317C4D7E"/>
    <w:rsid w:val="31A684C0"/>
    <w:rsid w:val="31B7B9F4"/>
    <w:rsid w:val="32CCBA9F"/>
    <w:rsid w:val="335CDC94"/>
    <w:rsid w:val="339A8717"/>
    <w:rsid w:val="35031FA7"/>
    <w:rsid w:val="35163212"/>
    <w:rsid w:val="357B7796"/>
    <w:rsid w:val="357ED136"/>
    <w:rsid w:val="36BEB707"/>
    <w:rsid w:val="36DED19D"/>
    <w:rsid w:val="37884049"/>
    <w:rsid w:val="37A6E423"/>
    <w:rsid w:val="37BE1EF5"/>
    <w:rsid w:val="39D11BAF"/>
    <w:rsid w:val="39EA0CE2"/>
    <w:rsid w:val="3A524259"/>
    <w:rsid w:val="3B7FBD3F"/>
    <w:rsid w:val="3BD76142"/>
    <w:rsid w:val="3BFB8A5E"/>
    <w:rsid w:val="3C0E972E"/>
    <w:rsid w:val="3CEEEBC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5C1BA84"/>
    <w:rsid w:val="46C52FAC"/>
    <w:rsid w:val="4706622D"/>
    <w:rsid w:val="472F6968"/>
    <w:rsid w:val="4861000D"/>
    <w:rsid w:val="49128FD4"/>
    <w:rsid w:val="493D5F8F"/>
    <w:rsid w:val="496796D2"/>
    <w:rsid w:val="496C7C19"/>
    <w:rsid w:val="499A9188"/>
    <w:rsid w:val="4B477A7A"/>
    <w:rsid w:val="4B8AFD60"/>
    <w:rsid w:val="4C29E823"/>
    <w:rsid w:val="4C3CC289"/>
    <w:rsid w:val="4E45CA86"/>
    <w:rsid w:val="4EA8CD80"/>
    <w:rsid w:val="4F49FB14"/>
    <w:rsid w:val="4F5242CB"/>
    <w:rsid w:val="4FADD2B8"/>
    <w:rsid w:val="4FF9E653"/>
    <w:rsid w:val="5015B2B9"/>
    <w:rsid w:val="50D9FF1A"/>
    <w:rsid w:val="50F1D553"/>
    <w:rsid w:val="512C1DFC"/>
    <w:rsid w:val="512EEECF"/>
    <w:rsid w:val="5137C080"/>
    <w:rsid w:val="5195B6B4"/>
    <w:rsid w:val="51BBFC5B"/>
    <w:rsid w:val="51FA3EE4"/>
    <w:rsid w:val="521B58DF"/>
    <w:rsid w:val="521DF654"/>
    <w:rsid w:val="52477011"/>
    <w:rsid w:val="526CF461"/>
    <w:rsid w:val="52742E2B"/>
    <w:rsid w:val="528EB6AC"/>
    <w:rsid w:val="53960F45"/>
    <w:rsid w:val="53A4C897"/>
    <w:rsid w:val="53B9C6B5"/>
    <w:rsid w:val="53E586D8"/>
    <w:rsid w:val="544BEEDF"/>
    <w:rsid w:val="559D0302"/>
    <w:rsid w:val="56B0C2CF"/>
    <w:rsid w:val="56CDB007"/>
    <w:rsid w:val="575632C8"/>
    <w:rsid w:val="57A1626B"/>
    <w:rsid w:val="57ECACCC"/>
    <w:rsid w:val="58648C9D"/>
    <w:rsid w:val="58D17EB5"/>
    <w:rsid w:val="59424ABB"/>
    <w:rsid w:val="5A47B221"/>
    <w:rsid w:val="5B23DEFF"/>
    <w:rsid w:val="5BC6C335"/>
    <w:rsid w:val="5CA108FB"/>
    <w:rsid w:val="5DCDCFD5"/>
    <w:rsid w:val="5DD07E80"/>
    <w:rsid w:val="5E2E136D"/>
    <w:rsid w:val="5F425440"/>
    <w:rsid w:val="5F43E929"/>
    <w:rsid w:val="5F7F9A35"/>
    <w:rsid w:val="60BFDBFB"/>
    <w:rsid w:val="61057097"/>
    <w:rsid w:val="611A703E"/>
    <w:rsid w:val="614E5686"/>
    <w:rsid w:val="61FE542F"/>
    <w:rsid w:val="62701E8F"/>
    <w:rsid w:val="63253F9C"/>
    <w:rsid w:val="63CB786D"/>
    <w:rsid w:val="63FBFD6D"/>
    <w:rsid w:val="63FC74BC"/>
    <w:rsid w:val="646CFD03"/>
    <w:rsid w:val="64BFEA4B"/>
    <w:rsid w:val="64D31D5A"/>
    <w:rsid w:val="661ED92B"/>
    <w:rsid w:val="666F47EB"/>
    <w:rsid w:val="6680B6EE"/>
    <w:rsid w:val="671B4111"/>
    <w:rsid w:val="675CA551"/>
    <w:rsid w:val="67E42D7B"/>
    <w:rsid w:val="688C1DE0"/>
    <w:rsid w:val="69406E26"/>
    <w:rsid w:val="69A68E7D"/>
    <w:rsid w:val="6B425EDE"/>
    <w:rsid w:val="6C46DAD5"/>
    <w:rsid w:val="6C6A6757"/>
    <w:rsid w:val="6CC49853"/>
    <w:rsid w:val="6CDB8266"/>
    <w:rsid w:val="6CF9DDD7"/>
    <w:rsid w:val="6D6D8A7C"/>
    <w:rsid w:val="6DA0A50D"/>
    <w:rsid w:val="6E1D8570"/>
    <w:rsid w:val="6EA69208"/>
    <w:rsid w:val="6F034CEA"/>
    <w:rsid w:val="6F3C756E"/>
    <w:rsid w:val="70B59C9F"/>
    <w:rsid w:val="7146F890"/>
    <w:rsid w:val="71B131D3"/>
    <w:rsid w:val="71D37653"/>
    <w:rsid w:val="71F7B801"/>
    <w:rsid w:val="72A2D51B"/>
    <w:rsid w:val="73D6BE0D"/>
    <w:rsid w:val="747D208D"/>
    <w:rsid w:val="749DC3A1"/>
    <w:rsid w:val="752C425A"/>
    <w:rsid w:val="76EE4F7B"/>
    <w:rsid w:val="78D669E1"/>
    <w:rsid w:val="78F161AA"/>
    <w:rsid w:val="795E5413"/>
    <w:rsid w:val="79A2ACF9"/>
    <w:rsid w:val="79AE68B6"/>
    <w:rsid w:val="79E6D92F"/>
    <w:rsid w:val="79EFD822"/>
    <w:rsid w:val="7A10B8DD"/>
    <w:rsid w:val="7B3D2F3C"/>
    <w:rsid w:val="7BB30B3C"/>
    <w:rsid w:val="7C456868"/>
    <w:rsid w:val="7CE9676B"/>
    <w:rsid w:val="7D6C0EA4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http://purl.org/dc/terms/"/>
    <ds:schemaRef ds:uri="4f0330e0-ca1d-44dc-b595-c9626fe08e92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83653D-94AA-4F40-8345-0D84D2499752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645</Words>
  <Characters>4168</Characters>
  <Application>Microsoft Office Word</Application>
  <DocSecurity>0</DocSecurity>
  <Lines>101</Lines>
  <Paragraphs>76</Paragraphs>
  <ScaleCrop>false</ScaleCrop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349</cp:revision>
  <dcterms:created xsi:type="dcterms:W3CDTF">2022-03-03T18:55:00Z</dcterms:created>
  <dcterms:modified xsi:type="dcterms:W3CDTF">2024-01-11T11:09:00Z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